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EE" w:rsidRDefault="007E66E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66EE" w:rsidRDefault="007E66EE">
      <w:pPr>
        <w:pStyle w:val="ConsPlusNormal"/>
        <w:jc w:val="both"/>
        <w:outlineLvl w:val="0"/>
      </w:pPr>
    </w:p>
    <w:p w:rsidR="007E66EE" w:rsidRDefault="007E66EE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Согласно </w:t>
      </w:r>
      <w:hyperlink r:id="rId5">
        <w:r>
          <w:rPr>
            <w:color w:val="0000FF"/>
          </w:rPr>
          <w:t>п. 65</w:t>
        </w:r>
      </w:hyperlink>
      <w:r>
        <w:t xml:space="preserve"> Порядка, утвержденного Постановлением Правительства РФ от 24.12.2021 N 2464, обучение работников требованиям охраны труда, а также проверка знания требований охраны труда осуществляются с отрывом от работы. В каком порядке нужно оплачивать работникам время на обучение и проверку знаний по охране труда: как за обычный рабочий день либо в размере среднего заработка?</w:t>
      </w:r>
    </w:p>
    <w:p w:rsidR="007E66EE" w:rsidRDefault="007E66EE">
      <w:pPr>
        <w:pStyle w:val="ConsPlusNormal"/>
        <w:jc w:val="both"/>
      </w:pPr>
    </w:p>
    <w:p w:rsidR="007E66EE" w:rsidRDefault="007E66EE">
      <w:pPr>
        <w:pStyle w:val="ConsPlusNormal"/>
        <w:ind w:firstLine="540"/>
        <w:jc w:val="both"/>
      </w:pPr>
      <w:r>
        <w:rPr>
          <w:b/>
        </w:rPr>
        <w:t>Ответ:</w:t>
      </w:r>
    </w:p>
    <w:p w:rsidR="007E66EE" w:rsidRDefault="007E66EE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7E66EE" w:rsidRDefault="007E66EE">
      <w:pPr>
        <w:pStyle w:val="ConsPlusTitle"/>
        <w:jc w:val="center"/>
      </w:pPr>
      <w:r>
        <w:t>РОССИЙСКОЙ ФЕДЕРАЦИИ</w:t>
      </w:r>
    </w:p>
    <w:p w:rsidR="007E66EE" w:rsidRDefault="007E66EE">
      <w:pPr>
        <w:pStyle w:val="ConsPlusTitle"/>
        <w:jc w:val="center"/>
      </w:pPr>
    </w:p>
    <w:p w:rsidR="007E66EE" w:rsidRDefault="007E66EE">
      <w:pPr>
        <w:pStyle w:val="ConsPlusTitle"/>
        <w:jc w:val="center"/>
      </w:pPr>
      <w:r>
        <w:t>ПИСЬМО</w:t>
      </w:r>
    </w:p>
    <w:p w:rsidR="007E66EE" w:rsidRDefault="007E66EE">
      <w:pPr>
        <w:pStyle w:val="ConsPlusTitle"/>
        <w:jc w:val="center"/>
      </w:pPr>
      <w:r>
        <w:t>от 21 декабря 2022 г. N 15-2/ООГ-3265</w:t>
      </w:r>
    </w:p>
    <w:p w:rsidR="007E66EE" w:rsidRDefault="007E66EE">
      <w:pPr>
        <w:pStyle w:val="ConsPlusNormal"/>
        <w:jc w:val="both"/>
      </w:pPr>
    </w:p>
    <w:p w:rsidR="007E66EE" w:rsidRDefault="007E66EE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обращение (от 23.11.2022), поступившее на официальный сайт Министерства труда и социальной защиты Российской Федерации, и сообщает следующее.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(далее - Кодекс) работодатель обязан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24.12.2021 N 2464 утверждены </w:t>
      </w:r>
      <w:hyperlink r:id="rId7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 </w:t>
      </w:r>
      <w:hyperlink r:id="rId8">
        <w:r>
          <w:rPr>
            <w:color w:val="0000FF"/>
          </w:rPr>
          <w:t>Правила</w:t>
        </w:r>
      </w:hyperlink>
      <w:r>
        <w:t xml:space="preserve"> устанавливают обязательные требования к обучению по охране труда и проверке знания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:rsidR="007E66EE" w:rsidRDefault="007E66EE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Пунктом 65</w:t>
        </w:r>
      </w:hyperlink>
      <w:r>
        <w:t xml:space="preserve"> Правил предусмотрено, что обучение работников требованиям охраны труда и проверка знания требований охраны труда осуществляются с отрывом от работы.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10">
        <w:r>
          <w:rPr>
            <w:color w:val="0000FF"/>
          </w:rPr>
          <w:t>пункту 81</w:t>
        </w:r>
      </w:hyperlink>
      <w:r>
        <w:t xml:space="preserve"> Правил форма, порядок и учет работников, подлежащих обучению по охране труда, устанавливаются работодателем.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>С учетом изложенного поясняем, что работодатель вправе локальным актом определить форму документа о направлении работника на прохождение обучения по охране труда.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1">
        <w:r>
          <w:rPr>
            <w:color w:val="0000FF"/>
          </w:rPr>
          <w:t>части 1 статьи 91</w:t>
        </w:r>
      </w:hyperlink>
      <w:r>
        <w:t xml:space="preserve"> Кодекса 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данным Кодексом, другими федеральными законами и иными нормативными правовыми актами Российской Федерации относятся к рабочему времени.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частью 4 статьи 91</w:t>
        </w:r>
      </w:hyperlink>
      <w:r>
        <w:t xml:space="preserve"> Кодекса работодатель обязан вести учет времени, фактически отработанного каждым работником.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>Для этой цели, как правило, используется табель учета рабочего времени.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 xml:space="preserve">Табель учета рабочего времени в организации может вестись в соответствии с </w:t>
      </w:r>
      <w:r>
        <w:lastRenderedPageBreak/>
        <w:t>унифицированными формами первичной учетной документации по учету труда и его оплаты (</w:t>
      </w:r>
      <w:hyperlink r:id="rId13">
        <w:r>
          <w:rPr>
            <w:color w:val="0000FF"/>
          </w:rPr>
          <w:t>формы Т-12</w:t>
        </w:r>
      </w:hyperlink>
      <w:r>
        <w:t xml:space="preserve">, </w:t>
      </w:r>
      <w:hyperlink r:id="rId14">
        <w:r>
          <w:rPr>
            <w:color w:val="0000FF"/>
          </w:rPr>
          <w:t>Т-13</w:t>
        </w:r>
      </w:hyperlink>
      <w:r>
        <w:t>, утвержденные Постановлением Госкомстата России от 05.01.2004 N 1 "Об утверждении унифицированных форм первичной учетной документации по учету труда и его оплаты").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 xml:space="preserve">При этом следует отметить, что с 1 января 2013 г. согласно Федеральному </w:t>
      </w:r>
      <w:hyperlink r:id="rId15">
        <w:r>
          <w:rPr>
            <w:color w:val="0000FF"/>
          </w:rPr>
          <w:t>закону</w:t>
        </w:r>
      </w:hyperlink>
      <w:r>
        <w:t xml:space="preserve"> от 06.12.2011 N 402-ФЗ "О бухгалтерском учете" унифицированные формы по учету труда и его оплаты, утвержденные </w:t>
      </w:r>
      <w:hyperlink r:id="rId16">
        <w:r>
          <w:rPr>
            <w:color w:val="0000FF"/>
          </w:rPr>
          <w:t>Постановлением</w:t>
        </w:r>
      </w:hyperlink>
      <w:r>
        <w:t xml:space="preserve"> Госкомстата России N 1, не являются обязательными к применению.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>Следовательно, работодатель вправе самостоятельно установить код для отражения в табеле учета рабочего времени в период прохождения обучения по охране труда.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>В период прохождения обучения по охране труда работником заработная плата выплачивается в соответствии с трудовым договором.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 xml:space="preserve">Дополнительно сообщаем, что в соответствии со </w:t>
      </w:r>
      <w:hyperlink r:id="rId17">
        <w:r>
          <w:rPr>
            <w:color w:val="0000FF"/>
          </w:rPr>
          <w:t>статьей 187</w:t>
        </w:r>
      </w:hyperlink>
      <w:r>
        <w:t xml:space="preserve"> Кодекса при направлении работодателем работника на профессиональное обучение или дополнительное профессиональное образование, на прохождение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 xml:space="preserve">Таким образом, для определения размера оплаты периода обучения с отрывом от работы применяется порядок исчисления среднего заработка, установленный </w:t>
      </w:r>
      <w:hyperlink r:id="rId18">
        <w:r>
          <w:rPr>
            <w:color w:val="0000FF"/>
          </w:rPr>
          <w:t>статьей 139</w:t>
        </w:r>
      </w:hyperlink>
      <w:r>
        <w:t xml:space="preserve"> Кодекса и </w:t>
      </w:r>
      <w:hyperlink r:id="rId19">
        <w:r>
          <w:rPr>
            <w:color w:val="0000FF"/>
          </w:rPr>
          <w:t>Положением</w:t>
        </w:r>
      </w:hyperlink>
      <w: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N 922 (далее - Положение).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 xml:space="preserve">Данный порядок является единым для всех случаев определения его размера, предусмотренных </w:t>
      </w:r>
      <w:hyperlink r:id="rId20">
        <w:r>
          <w:rPr>
            <w:color w:val="0000FF"/>
          </w:rPr>
          <w:t>Кодексом</w:t>
        </w:r>
      </w:hyperlink>
      <w:r>
        <w:t xml:space="preserve"> (в том числе для оплаты периода обучения, предусмотренного </w:t>
      </w:r>
      <w:hyperlink r:id="rId21">
        <w:r>
          <w:rPr>
            <w:color w:val="0000FF"/>
          </w:rPr>
          <w:t>статьей 187</w:t>
        </w:r>
      </w:hyperlink>
      <w:r>
        <w:t xml:space="preserve"> Кодекса). В соответствии с </w:t>
      </w:r>
      <w:hyperlink r:id="rId22">
        <w:r>
          <w:rPr>
            <w:color w:val="0000FF"/>
          </w:rPr>
          <w:t>частью 3 статьи 139</w:t>
        </w:r>
      </w:hyperlink>
      <w:r>
        <w:t xml:space="preserve"> Кодекса и </w:t>
      </w:r>
      <w:hyperlink r:id="rId23">
        <w:r>
          <w:rPr>
            <w:color w:val="0000FF"/>
          </w:rPr>
          <w:t>пунктом 4</w:t>
        </w:r>
      </w:hyperlink>
      <w:r>
        <w:t xml:space="preserve"> Положения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>
        <w:r>
          <w:rPr>
            <w:color w:val="0000FF"/>
          </w:rPr>
          <w:t>частью 2 статьи 139</w:t>
        </w:r>
      </w:hyperlink>
      <w:r>
        <w:t xml:space="preserve"> Кодекса и </w:t>
      </w:r>
      <w:hyperlink r:id="rId25">
        <w:r>
          <w:rPr>
            <w:color w:val="0000FF"/>
          </w:rPr>
          <w:t>пунктом 2</w:t>
        </w:r>
      </w:hyperlink>
      <w:r>
        <w:t xml:space="preserve"> Положения для расчета среднего заработка учитываются все предусмотренные системой оплаты труда виды выплат, применяемые у соответствующего работодателя, независимо от источников этих выплат. При этом согласно </w:t>
      </w:r>
      <w:hyperlink r:id="rId26">
        <w:r>
          <w:rPr>
            <w:color w:val="0000FF"/>
          </w:rPr>
          <w:t>пункту 3</w:t>
        </w:r>
      </w:hyperlink>
      <w:r>
        <w:t xml:space="preserve"> Положения для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>Таким образом, выплаты, предусмотренные системой оплаты труда организации и отраженные в трудовом договоре работника в составе заработной платы, учитываются при исчислении среднего заработка.</w:t>
      </w:r>
    </w:p>
    <w:p w:rsidR="007E66EE" w:rsidRDefault="007E66EE">
      <w:pPr>
        <w:pStyle w:val="ConsPlusNormal"/>
        <w:spacing w:before="220"/>
        <w:ind w:firstLine="540"/>
        <w:jc w:val="both"/>
      </w:pPr>
      <w:r>
        <w:t xml:space="preserve">Дополнительно сообщаем, что ответ на обращение не является нормативным правовым актом, носит разъяснительный характер и является мнением Департамента на отдельный заданный </w:t>
      </w:r>
      <w:r>
        <w:lastRenderedPageBreak/>
        <w:t>вопрос.</w:t>
      </w:r>
    </w:p>
    <w:p w:rsidR="007E66EE" w:rsidRDefault="007E66EE">
      <w:pPr>
        <w:pStyle w:val="ConsPlusNormal"/>
        <w:jc w:val="both"/>
      </w:pPr>
    </w:p>
    <w:p w:rsidR="007E66EE" w:rsidRDefault="007E66EE">
      <w:pPr>
        <w:pStyle w:val="ConsPlusNormal"/>
        <w:jc w:val="right"/>
      </w:pPr>
      <w:r>
        <w:t>Заместитель директора Департамента</w:t>
      </w:r>
    </w:p>
    <w:p w:rsidR="007E66EE" w:rsidRDefault="007E66EE">
      <w:pPr>
        <w:pStyle w:val="ConsPlusNormal"/>
        <w:jc w:val="right"/>
      </w:pPr>
      <w:r>
        <w:t>условий и охраны труда</w:t>
      </w:r>
    </w:p>
    <w:p w:rsidR="007E66EE" w:rsidRDefault="007E66EE">
      <w:pPr>
        <w:pStyle w:val="ConsPlusNormal"/>
        <w:jc w:val="right"/>
      </w:pPr>
      <w:r>
        <w:t>А.А.ВОРОТИЛКИН</w:t>
      </w:r>
    </w:p>
    <w:p w:rsidR="007E66EE" w:rsidRDefault="007E66EE">
      <w:pPr>
        <w:pStyle w:val="ConsPlusNormal"/>
      </w:pPr>
      <w:r>
        <w:t>21.12.2022</w:t>
      </w:r>
    </w:p>
    <w:p w:rsidR="007E66EE" w:rsidRDefault="007E66EE">
      <w:pPr>
        <w:pStyle w:val="ConsPlusNormal"/>
        <w:jc w:val="both"/>
      </w:pPr>
    </w:p>
    <w:p w:rsidR="007E66EE" w:rsidRDefault="007E66EE">
      <w:pPr>
        <w:pStyle w:val="ConsPlusNormal"/>
        <w:jc w:val="both"/>
      </w:pPr>
    </w:p>
    <w:p w:rsidR="007E66EE" w:rsidRDefault="007E66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0" w:name="_GoBack"/>
      <w:bookmarkEnd w:id="0"/>
    </w:p>
    <w:sectPr w:rsidR="00DB4EC7" w:rsidSect="00C8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EE"/>
    <w:rsid w:val="004D7D26"/>
    <w:rsid w:val="00611F62"/>
    <w:rsid w:val="007E66EE"/>
    <w:rsid w:val="008B1FA4"/>
    <w:rsid w:val="00B50D12"/>
    <w:rsid w:val="00D348C5"/>
    <w:rsid w:val="00DB4EC7"/>
    <w:rsid w:val="00E5498D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7287-E029-475B-BB26-EEE9544B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6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66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66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A0BD62F6575A59CDBD9AA91594AC83FCE81B9430DDBB968ACF696C7CF6D7DE46C821641CAA4B0B1A5490CF8C38293566C70D6F792E2C2IABDC" TargetMode="External"/><Relationship Id="rId13" Type="http://schemas.openxmlformats.org/officeDocument/2006/relationships/hyperlink" Target="consultantplus://offline/ref=C4CA0BD62F6575A59CDBD9AA91594AC83FC986BF400286B360F5FA94C0C0326AE3258E1741C8ADB4BBFA4C19E99B8D90497277CFEB90E0ICB3C" TargetMode="External"/><Relationship Id="rId18" Type="http://schemas.openxmlformats.org/officeDocument/2006/relationships/hyperlink" Target="consultantplus://offline/ref=C4CA0BD62F6575A59CDBD9AA91594AC83FCD80BE4D08DBB968ACF696C7CF6D7DE46C821641CAADB6B8A5490CF8C38293566C70D6F792E2C2IABDC" TargetMode="External"/><Relationship Id="rId26" Type="http://schemas.openxmlformats.org/officeDocument/2006/relationships/hyperlink" Target="consultantplus://offline/ref=C4CA0BD62F6575A59CDBD9AA91594AC839CE8CBF4208DBB968ACF696C7CF6D7DE46C821641CAA4B0B7A5490CF8C38293566C70D6F792E2C2IABD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CA0BD62F6575A59CDBD9AA91594AC83FCD80BE4D08DBB968ACF696C7CF6D7DE46C821543CFADB9E4FF5908B1948E8F57756ED3E992IEB1C" TargetMode="External"/><Relationship Id="rId7" Type="http://schemas.openxmlformats.org/officeDocument/2006/relationships/hyperlink" Target="consultantplus://offline/ref=C4CA0BD62F6575A59CDBD9AA91594AC83FCE81B9430DDBB968ACF696C7CF6D7DE46C821641CAA4B3B9A5490CF8C38293566C70D6F792E2C2IABDC" TargetMode="External"/><Relationship Id="rId12" Type="http://schemas.openxmlformats.org/officeDocument/2006/relationships/hyperlink" Target="consultantplus://offline/ref=C4CA0BD62F6575A59CDBD9AA91594AC83FCD80BE4D08DBB968ACF696C7CF6D7DE46C821641CAA2B5B8A5490CF8C38293566C70D6F792E2C2IABDC" TargetMode="External"/><Relationship Id="rId17" Type="http://schemas.openxmlformats.org/officeDocument/2006/relationships/hyperlink" Target="consultantplus://offline/ref=C4CA0BD62F6575A59CDBD9AA91594AC83FCD80BE4D08DBB968ACF696C7CF6D7DE46C821543CFADB9E4FF5908B1948E8F57756ED3E992IEB1C" TargetMode="External"/><Relationship Id="rId25" Type="http://schemas.openxmlformats.org/officeDocument/2006/relationships/hyperlink" Target="consultantplus://offline/ref=C4CA0BD62F6575A59CDBD9AA91594AC839CE8CBF4208DBB968ACF696C7CF6D7DE46C821641CAA4B3B2A5490CF8C38293566C70D6F792E2C2IAB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CA0BD62F6575A59CDBD9AA91594AC83FC986BF400286B360F5FA94C0C0326AE3258E1741CAA4B7BBFA4C19E99B8D90497277CFEB90E0ICB3C" TargetMode="External"/><Relationship Id="rId20" Type="http://schemas.openxmlformats.org/officeDocument/2006/relationships/hyperlink" Target="consultantplus://offline/ref=C4CA0BD62F6575A59CDBD9AA91594AC83FCD80BE4D08DBB968ACF696C7CF6D7DF66CDA1A43CBBAB2B7B01F5DBEI9B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A0BD62F6575A59CDBD9AA91594AC83FCD80BE4D08DBB968ACF696C7CF6D7DE46C821547CFA7B9E4FF5908B1948E8F57756ED3E992IEB1C" TargetMode="External"/><Relationship Id="rId11" Type="http://schemas.openxmlformats.org/officeDocument/2006/relationships/hyperlink" Target="consultantplus://offline/ref=C4CA0BD62F6575A59CDBD9AA91594AC83FCD80BE4D08DBB968ACF696C7CF6D7DE46C821245CCAFE6E1EA4850BE979191506C72D1EBI9B3C" TargetMode="External"/><Relationship Id="rId24" Type="http://schemas.openxmlformats.org/officeDocument/2006/relationships/hyperlink" Target="consultantplus://offline/ref=C4CA0BD62F6575A59CDBD9AA91594AC83FCD80BE4D08DBB968ACF696C7CF6D7DE46C821146CBAFE6E1EA4850BE979191506C72D1EBI9B3C" TargetMode="External"/><Relationship Id="rId5" Type="http://schemas.openxmlformats.org/officeDocument/2006/relationships/hyperlink" Target="consultantplus://offline/ref=C4CA0BD62F6575A59CDBD9AA91594AC83FCE81B9430DDBB968ACF696C7CF6D7DE46C821641CAA5B6B2A5490CF8C38293566C70D6F792E2C2IABDC" TargetMode="External"/><Relationship Id="rId15" Type="http://schemas.openxmlformats.org/officeDocument/2006/relationships/hyperlink" Target="consultantplus://offline/ref=C4CA0BD62F6575A59CDBD9AA91594AC83FCD87BC4709DBB968ACF696C7CF6D7DE46C821140C1F0E3F4FB105FBD888F96497070D3IEBAC" TargetMode="External"/><Relationship Id="rId23" Type="http://schemas.openxmlformats.org/officeDocument/2006/relationships/hyperlink" Target="consultantplus://offline/ref=C4CA0BD62F6575A59CDBD9AA91594AC839CE8CBF4208DBB968ACF696C7CF6D7DE46C821641CAA4B0B8A5490CF8C38293566C70D6F792E2C2IABD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4CA0BD62F6575A59CDBD9AA91594AC83FCE81B9430DDBB968ACF696C7CF6D7DE46C821641CAA5B4B0A5490CF8C38293566C70D6F792E2C2IABDC" TargetMode="External"/><Relationship Id="rId19" Type="http://schemas.openxmlformats.org/officeDocument/2006/relationships/hyperlink" Target="consultantplus://offline/ref=C4CA0BD62F6575A59CDBD9AA91594AC839CE8CBF4208DBB968ACF696C7CF6D7DE46C821641CAA4B3B0A5490CF8C38293566C70D6F792E2C2IABD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CA0BD62F6575A59CDBD9AA91594AC83FCE81B9430DDBB968ACF696C7CF6D7DE46C821641CAA5B6B2A5490CF8C38293566C70D6F792E2C2IABDC" TargetMode="External"/><Relationship Id="rId14" Type="http://schemas.openxmlformats.org/officeDocument/2006/relationships/hyperlink" Target="consultantplus://offline/ref=C4CA0BD62F6575A59CDBD9AA91594AC83FC986BF400286B360F5FA94C0C0326AE3258E1741C9A1B0BBFA4C19E99B8D90497277CFEB90E0ICB3C" TargetMode="External"/><Relationship Id="rId22" Type="http://schemas.openxmlformats.org/officeDocument/2006/relationships/hyperlink" Target="consultantplus://offline/ref=C4CA0BD62F6575A59CDBD9AA91594AC83FCD80BE4D08DBB968ACF696C7CF6D7DE46C821146C8AFE6E1EA4850BE979191506C72D1EBI9B3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2023-07-21T02:01:00Z</dcterms:created>
  <dcterms:modified xsi:type="dcterms:W3CDTF">2023-07-21T02:02:00Z</dcterms:modified>
</cp:coreProperties>
</file>