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56" w:rsidRDefault="00A25F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5F56" w:rsidRDefault="00A25F56">
      <w:pPr>
        <w:pStyle w:val="ConsPlusNormal"/>
        <w:jc w:val="both"/>
        <w:outlineLvl w:val="0"/>
      </w:pPr>
    </w:p>
    <w:p w:rsidR="00A25F56" w:rsidRDefault="00A25F56">
      <w:pPr>
        <w:pStyle w:val="ConsPlusNormal"/>
        <w:outlineLvl w:val="0"/>
      </w:pPr>
      <w:r>
        <w:t>Зарегистрировано в Минюсте России 30 мая 2022 г. N 68626</w:t>
      </w:r>
    </w:p>
    <w:p w:rsidR="00A25F56" w:rsidRDefault="00A25F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F56" w:rsidRDefault="00A25F56">
      <w:pPr>
        <w:pStyle w:val="ConsPlusNormal"/>
      </w:pPr>
    </w:p>
    <w:p w:rsidR="00A25F56" w:rsidRDefault="00A25F56">
      <w:pPr>
        <w:pStyle w:val="ConsPlusTitle"/>
        <w:jc w:val="center"/>
      </w:pPr>
      <w:r>
        <w:t>МИНИСТЕРСТВО ЗДРАВООХРАНЕНИЯ РОССИЙСКОЙ ФЕДЕРАЦИИ</w:t>
      </w:r>
    </w:p>
    <w:p w:rsidR="00A25F56" w:rsidRDefault="00A25F56">
      <w:pPr>
        <w:pStyle w:val="ConsPlusTitle"/>
        <w:jc w:val="center"/>
      </w:pPr>
    </w:p>
    <w:p w:rsidR="00A25F56" w:rsidRDefault="00A25F56">
      <w:pPr>
        <w:pStyle w:val="ConsPlusTitle"/>
        <w:jc w:val="center"/>
      </w:pPr>
      <w:r>
        <w:t>ПРИКАЗ</w:t>
      </w:r>
    </w:p>
    <w:p w:rsidR="00A25F56" w:rsidRDefault="00A25F56">
      <w:pPr>
        <w:pStyle w:val="ConsPlusTitle"/>
        <w:jc w:val="center"/>
      </w:pPr>
      <w:r>
        <w:t>от 20 мая 2022 г. N 342н</w:t>
      </w:r>
    </w:p>
    <w:p w:rsidR="00A25F56" w:rsidRDefault="00A25F56">
      <w:pPr>
        <w:pStyle w:val="ConsPlusTitle"/>
        <w:jc w:val="center"/>
      </w:pPr>
      <w:bookmarkStart w:id="0" w:name="_GoBack"/>
      <w:bookmarkEnd w:id="0"/>
    </w:p>
    <w:p w:rsidR="00A25F56" w:rsidRDefault="00A25F56">
      <w:pPr>
        <w:pStyle w:val="ConsPlusTitle"/>
        <w:jc w:val="center"/>
      </w:pPr>
      <w:r>
        <w:t>ОБ УТВЕРЖДЕНИИ ПОРЯДКА</w:t>
      </w:r>
    </w:p>
    <w:p w:rsidR="00A25F56" w:rsidRDefault="00A25F56">
      <w:pPr>
        <w:pStyle w:val="ConsPlusTitle"/>
        <w:jc w:val="center"/>
      </w:pPr>
      <w:r>
        <w:t>ПРОХОЖДЕНИЯ ОБЯЗАТЕЛЬНОГО ПСИХИАТРИЧЕСКОГО</w:t>
      </w:r>
    </w:p>
    <w:p w:rsidR="00A25F56" w:rsidRDefault="00A25F56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A25F56" w:rsidRDefault="00A25F56">
      <w:pPr>
        <w:pStyle w:val="ConsPlusTitle"/>
        <w:jc w:val="center"/>
      </w:pPr>
      <w:r>
        <w:t>ВИДЫ ДЕЯТЕЛЬНОСТИ, ЕГО ПЕРИОДИЧНОСТИ, А ТАКЖЕ ВИДОВ</w:t>
      </w:r>
    </w:p>
    <w:p w:rsidR="00A25F56" w:rsidRDefault="00A25F56">
      <w:pPr>
        <w:pStyle w:val="ConsPlusTitle"/>
        <w:jc w:val="center"/>
      </w:pPr>
      <w:r>
        <w:t>ДЕЯТЕЛЬНОСТИ, ПРИ ОСУЩЕСТВЛЕНИИ КОТОРЫХ ПРОВОДИТСЯ</w:t>
      </w:r>
    </w:p>
    <w:p w:rsidR="00A25F56" w:rsidRDefault="00A25F56">
      <w:pPr>
        <w:pStyle w:val="ConsPlusTitle"/>
        <w:jc w:val="center"/>
      </w:pPr>
      <w:r>
        <w:t>ПСИХИАТРИЧЕСКОЕ ОСВИДЕТЕЛЬСТВОВАНИЕ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r:id="rId7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1. Утвердить: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>
          <w:rPr>
            <w:color w:val="0000FF"/>
          </w:rPr>
          <w:t>приложению N 2</w:t>
        </w:r>
      </w:hyperlink>
      <w:r>
        <w:t>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jc w:val="right"/>
      </w:pPr>
      <w:r>
        <w:t>Министр</w:t>
      </w:r>
    </w:p>
    <w:p w:rsidR="00A25F56" w:rsidRDefault="00A25F56">
      <w:pPr>
        <w:pStyle w:val="ConsPlusNormal"/>
        <w:jc w:val="right"/>
      </w:pPr>
      <w:r>
        <w:t>М.А.МУРАШКО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jc w:val="right"/>
        <w:outlineLvl w:val="0"/>
      </w:pPr>
      <w:r>
        <w:t>Приложение N 1</w:t>
      </w:r>
    </w:p>
    <w:p w:rsidR="00A25F56" w:rsidRDefault="00A25F56">
      <w:pPr>
        <w:pStyle w:val="ConsPlusNormal"/>
        <w:jc w:val="right"/>
      </w:pPr>
      <w:r>
        <w:t>к приказу Министерства здравоохранения</w:t>
      </w:r>
    </w:p>
    <w:p w:rsidR="00A25F56" w:rsidRDefault="00A25F56">
      <w:pPr>
        <w:pStyle w:val="ConsPlusNormal"/>
        <w:jc w:val="right"/>
      </w:pPr>
      <w:r>
        <w:t>Российской Федерации</w:t>
      </w:r>
    </w:p>
    <w:p w:rsidR="00A25F56" w:rsidRDefault="00A25F56">
      <w:pPr>
        <w:pStyle w:val="ConsPlusNormal"/>
        <w:jc w:val="right"/>
      </w:pPr>
      <w:r>
        <w:t>от 20 мая 2022 г. N 342н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Title"/>
        <w:jc w:val="center"/>
      </w:pPr>
      <w:bookmarkStart w:id="1" w:name="P34"/>
      <w:bookmarkEnd w:id="1"/>
      <w:r>
        <w:t>ПОРЯДОК</w:t>
      </w:r>
    </w:p>
    <w:p w:rsidR="00A25F56" w:rsidRDefault="00A25F56">
      <w:pPr>
        <w:pStyle w:val="ConsPlusTitle"/>
        <w:jc w:val="center"/>
      </w:pPr>
      <w:r>
        <w:t>ПРОХОЖДЕНИЯ ОБЯЗАТЕЛЬНОГО ПСИХИАТРИЧЕСКОГО</w:t>
      </w:r>
    </w:p>
    <w:p w:rsidR="00A25F56" w:rsidRDefault="00A25F56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A25F56" w:rsidRDefault="00A25F56">
      <w:pPr>
        <w:pStyle w:val="ConsPlusTitle"/>
        <w:jc w:val="center"/>
      </w:pPr>
      <w:r>
        <w:t>ВИДЫ ДЕЯТЕЛЬНОСТИ, ЕГО ПЕРИОДИЧНОСТЬ</w:t>
      </w:r>
    </w:p>
    <w:p w:rsidR="00A25F56" w:rsidRDefault="00A25F56">
      <w:pPr>
        <w:pStyle w:val="ConsPlusNormal"/>
        <w:jc w:val="center"/>
      </w:pPr>
    </w:p>
    <w:p w:rsidR="00A25F56" w:rsidRDefault="00A25F56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</w:t>
      </w:r>
      <w:r>
        <w:lastRenderedPageBreak/>
        <w:t xml:space="preserve">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врачебной комиссией, создаваемой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6. В направлении указываются: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дата формирования направления;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2">
        <w:r>
          <w:rPr>
            <w:color w:val="0000FF"/>
          </w:rPr>
          <w:t>классификатору</w:t>
        </w:r>
      </w:hyperlink>
      <w:r>
        <w:t xml:space="preserve"> видов </w:t>
      </w:r>
      <w:r>
        <w:lastRenderedPageBreak/>
        <w:t>экономической деятельности (ОКВЭД);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дата выдачи направления работнику.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Направление выдается работнику под подпись.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направление;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9. Освидетельствование включает: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lastRenderedPageBreak/>
        <w:t>прием (осмотр, консультация) врача-психиатра;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сбор жалоб и анамнеза (объективный и субъективный) в психиатрии;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психопатологическое обследование.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A25F56" w:rsidRDefault="00A25F56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12. В Заключении указываются: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</w:t>
      </w:r>
      <w:r>
        <w:lastRenderedPageBreak/>
        <w:t>Федерации о защите персональных данных и врачебной тайны.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jc w:val="right"/>
        <w:outlineLvl w:val="0"/>
      </w:pPr>
      <w:r>
        <w:t>Приложение N 2</w:t>
      </w:r>
    </w:p>
    <w:p w:rsidR="00A25F56" w:rsidRDefault="00A25F56">
      <w:pPr>
        <w:pStyle w:val="ConsPlusNormal"/>
        <w:jc w:val="right"/>
      </w:pPr>
      <w:r>
        <w:t>к приказу Министерства здравоохранения</w:t>
      </w:r>
    </w:p>
    <w:p w:rsidR="00A25F56" w:rsidRDefault="00A25F56">
      <w:pPr>
        <w:pStyle w:val="ConsPlusNormal"/>
        <w:jc w:val="right"/>
      </w:pPr>
      <w:r>
        <w:t>Российской Федерации</w:t>
      </w:r>
    </w:p>
    <w:p w:rsidR="00A25F56" w:rsidRDefault="00A25F56">
      <w:pPr>
        <w:pStyle w:val="ConsPlusNormal"/>
        <w:jc w:val="right"/>
      </w:pPr>
      <w:r>
        <w:t>от 20 мая 2022 г. N 342н</w:t>
      </w:r>
    </w:p>
    <w:p w:rsidR="00A25F56" w:rsidRDefault="00A25F56">
      <w:pPr>
        <w:pStyle w:val="ConsPlusNormal"/>
        <w:jc w:val="center"/>
      </w:pPr>
    </w:p>
    <w:p w:rsidR="00A25F56" w:rsidRDefault="00A25F56">
      <w:pPr>
        <w:pStyle w:val="ConsPlusTitle"/>
        <w:jc w:val="center"/>
      </w:pPr>
      <w:bookmarkStart w:id="3" w:name="P104"/>
      <w:bookmarkEnd w:id="3"/>
      <w:r>
        <w:t>ВИДЫ</w:t>
      </w:r>
    </w:p>
    <w:p w:rsidR="00A25F56" w:rsidRDefault="00A25F56">
      <w:pPr>
        <w:pStyle w:val="ConsPlusTitle"/>
        <w:jc w:val="center"/>
      </w:pPr>
      <w:r>
        <w:t>ДЕЯТЕЛЬНОСТИ, ПРИ ОСУЩЕСТВЛЕНИИ КОТОРЫХ ПРОВОДИТСЯ</w:t>
      </w:r>
    </w:p>
    <w:p w:rsidR="00A25F56" w:rsidRDefault="00A25F56">
      <w:pPr>
        <w:pStyle w:val="ConsPlusTitle"/>
        <w:jc w:val="center"/>
      </w:pPr>
      <w:r>
        <w:t>ПСИХИАТРИЧЕСКОЕ ОСВИДЕТЕЛЬСТВОВАНИЕ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6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lastRenderedPageBreak/>
        <w:t xml:space="preserve">&lt;3&gt; Федеральные </w:t>
      </w:r>
      <w:hyperlink r:id="rId20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9. Деятельность по присмотру и уходу за детьми.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3">
        <w:r>
          <w:rPr>
            <w:color w:val="0000FF"/>
          </w:rPr>
          <w:t>приказом</w:t>
        </w:r>
      </w:hyperlink>
      <w:r>
        <w:t xml:space="preserve"> Росстандарта от 7 ноября 2018 г. N 942-ст (М., "Стандартинформ", 2019).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&lt;6&gt; Федеральные </w:t>
      </w:r>
      <w:hyperlink r:id="rId25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:rsidR="00A25F56" w:rsidRDefault="00A25F56">
      <w:pPr>
        <w:pStyle w:val="ConsPlusNormal"/>
        <w:ind w:firstLine="540"/>
        <w:jc w:val="both"/>
      </w:pPr>
    </w:p>
    <w:p w:rsidR="00A25F56" w:rsidRDefault="00A25F56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воды при температуре более 115 °C;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 xml:space="preserve">иных жидкостей при температуре, превышающей температуру их кипения при избыточном </w:t>
      </w:r>
      <w:r>
        <w:lastRenderedPageBreak/>
        <w:t>давлении 0,07 МПа.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15. Деятельность, связанная с добычей угля подземным способом.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 w:rsidR="00A25F56" w:rsidRDefault="00A25F56">
      <w:pPr>
        <w:pStyle w:val="ConsPlusNormal"/>
        <w:spacing w:before="22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A25F56" w:rsidRDefault="00A25F56">
      <w:pPr>
        <w:pStyle w:val="ConsPlusNormal"/>
        <w:jc w:val="both"/>
      </w:pPr>
    </w:p>
    <w:p w:rsidR="00A25F56" w:rsidRDefault="00A25F56">
      <w:pPr>
        <w:pStyle w:val="ConsPlusNormal"/>
        <w:jc w:val="both"/>
      </w:pPr>
    </w:p>
    <w:p w:rsidR="00A25F56" w:rsidRDefault="00A25F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/>
    <w:sectPr w:rsidR="00DB4EC7" w:rsidSect="0036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56"/>
    <w:rsid w:val="000F59B0"/>
    <w:rsid w:val="00134818"/>
    <w:rsid w:val="00235188"/>
    <w:rsid w:val="004B13A1"/>
    <w:rsid w:val="004D7D26"/>
    <w:rsid w:val="00611F62"/>
    <w:rsid w:val="00833A75"/>
    <w:rsid w:val="008B1FA4"/>
    <w:rsid w:val="008D3D04"/>
    <w:rsid w:val="00A25F56"/>
    <w:rsid w:val="00A76C3A"/>
    <w:rsid w:val="00B50D12"/>
    <w:rsid w:val="00C520DC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B6FB-A62A-48B2-9879-B22DB7C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389&amp;dst=2762" TargetMode="External"/><Relationship Id="rId13" Type="http://schemas.openxmlformats.org/officeDocument/2006/relationships/hyperlink" Target="https://login.consultant.ru/link/?req=doc&amp;base=LAW&amp;n=468389&amp;dst=2754" TargetMode="External"/><Relationship Id="rId18" Type="http://schemas.openxmlformats.org/officeDocument/2006/relationships/hyperlink" Target="https://login.consultant.ru/link/?req=doc&amp;base=LAW&amp;n=420533&amp;dst=10020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9762&amp;dst=100580" TargetMode="External"/><Relationship Id="rId7" Type="http://schemas.openxmlformats.org/officeDocument/2006/relationships/hyperlink" Target="https://login.consultant.ru/link/?req=doc&amp;base=LAW&amp;n=463468&amp;dst=207" TargetMode="External"/><Relationship Id="rId12" Type="http://schemas.openxmlformats.org/officeDocument/2006/relationships/hyperlink" Target="https://login.consultant.ru/link/?req=doc&amp;base=LAW&amp;n=462157" TargetMode="External"/><Relationship Id="rId17" Type="http://schemas.openxmlformats.org/officeDocument/2006/relationships/hyperlink" Target="https://login.consultant.ru/link/?req=doc&amp;base=LAW&amp;n=373075" TargetMode="External"/><Relationship Id="rId25" Type="http://schemas.openxmlformats.org/officeDocument/2006/relationships/hyperlink" Target="https://login.consultant.ru/link/?req=doc&amp;base=LAW&amp;n=373204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3075&amp;dst=100009" TargetMode="External"/><Relationship Id="rId20" Type="http://schemas.openxmlformats.org/officeDocument/2006/relationships/hyperlink" Target="https://login.consultant.ru/link/?req=doc&amp;base=LAW&amp;n=373321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389&amp;dst=2762" TargetMode="External"/><Relationship Id="rId11" Type="http://schemas.openxmlformats.org/officeDocument/2006/relationships/hyperlink" Target="https://login.consultant.ru/link/?req=doc&amp;base=LAW&amp;n=405625&amp;dst=100282" TargetMode="External"/><Relationship Id="rId24" Type="http://schemas.openxmlformats.org/officeDocument/2006/relationships/hyperlink" Target="https://login.consultant.ru/link/?req=doc&amp;base=LAW&amp;n=416276&amp;dst=277" TargetMode="External"/><Relationship Id="rId5" Type="http://schemas.openxmlformats.org/officeDocument/2006/relationships/hyperlink" Target="https://login.consultant.ru/link/?req=doc&amp;base=LAW&amp;n=466112&amp;dst=100641" TargetMode="External"/><Relationship Id="rId15" Type="http://schemas.openxmlformats.org/officeDocument/2006/relationships/hyperlink" Target="https://login.consultant.ru/link/?req=doc&amp;base=LAW&amp;n=462157" TargetMode="External"/><Relationship Id="rId23" Type="http://schemas.openxmlformats.org/officeDocument/2006/relationships/hyperlink" Target="https://login.consultant.ru/link/?req=doc&amp;base=LAW&amp;n=312779" TargetMode="External"/><Relationship Id="rId10" Type="http://schemas.openxmlformats.org/officeDocument/2006/relationships/hyperlink" Target="https://login.consultant.ru/link/?req=doc&amp;base=LAW&amp;n=468389&amp;dst=2754" TargetMode="External"/><Relationship Id="rId19" Type="http://schemas.openxmlformats.org/officeDocument/2006/relationships/hyperlink" Target="https://login.consultant.ru/link/?req=doc&amp;base=LAW&amp;n=2959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5625&amp;dst=100282" TargetMode="External"/><Relationship Id="rId14" Type="http://schemas.openxmlformats.org/officeDocument/2006/relationships/hyperlink" Target="https://login.consultant.ru/link/?req=doc&amp;base=LAW&amp;n=468389&amp;dst=2754" TargetMode="External"/><Relationship Id="rId22" Type="http://schemas.openxmlformats.org/officeDocument/2006/relationships/hyperlink" Target="https://login.consultant.ru/link/?req=doc&amp;base=STR&amp;n=234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2024-02-28T01:14:00Z</dcterms:created>
  <dcterms:modified xsi:type="dcterms:W3CDTF">2024-02-28T01:15:00Z</dcterms:modified>
</cp:coreProperties>
</file>