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7FD7" w:rsidRPr="004D55BE" w:rsidRDefault="00C97FD7" w:rsidP="00C97FD7">
      <w:pPr>
        <w:shd w:val="clear" w:color="auto" w:fill="FFFFFF"/>
        <w:spacing w:after="150" w:line="825" w:lineRule="atLeast"/>
        <w:outlineLvl w:val="1"/>
        <w:rPr>
          <w:rFonts w:ascii="Times New Roman" w:hAnsi="Times New Roman" w:cs="Times New Roman"/>
          <w:noProof/>
          <w:color w:val="89B342"/>
          <w:sz w:val="28"/>
          <w:szCs w:val="28"/>
          <w:shd w:val="clear" w:color="auto" w:fill="FFFFFF"/>
          <w:lang w:eastAsia="ru-RU"/>
        </w:rPr>
      </w:pPr>
      <w:r w:rsidRPr="004D55BE">
        <w:rPr>
          <w:rFonts w:ascii="Times New Roman" w:hAnsi="Times New Roman" w:cs="Times New Roman"/>
          <w:color w:val="263238"/>
          <w:sz w:val="28"/>
          <w:szCs w:val="28"/>
          <w:shd w:val="clear" w:color="auto" w:fill="F5F5F5"/>
        </w:rPr>
        <w:t>Использованы материалы официального сайта "</w:t>
      </w:r>
      <w:r w:rsidRPr="004D55BE">
        <w:rPr>
          <w:rStyle w:val="a3"/>
          <w:rFonts w:ascii="Times New Roman" w:hAnsi="Times New Roman" w:cs="Times New Roman"/>
          <w:color w:val="263238"/>
          <w:sz w:val="28"/>
          <w:szCs w:val="28"/>
          <w:shd w:val="clear" w:color="auto" w:fill="F5F5F5"/>
        </w:rPr>
        <w:t>cgon.rospotrebnadzor.ru</w:t>
      </w:r>
      <w:r w:rsidRPr="004D55BE">
        <w:rPr>
          <w:rFonts w:ascii="Times New Roman" w:hAnsi="Times New Roman" w:cs="Times New Roman"/>
          <w:color w:val="263238"/>
          <w:sz w:val="28"/>
          <w:szCs w:val="28"/>
          <w:shd w:val="clear" w:color="auto" w:fill="F5F5F5"/>
        </w:rPr>
        <w:t>"</w:t>
      </w:r>
    </w:p>
    <w:p w:rsidR="00C97FD7" w:rsidRDefault="00C97FD7" w:rsidP="00C97FD7">
      <w:pPr>
        <w:shd w:val="clear" w:color="auto" w:fill="FFFFFF"/>
        <w:spacing w:after="150" w:line="825" w:lineRule="atLeast"/>
        <w:outlineLvl w:val="1"/>
        <w:rPr>
          <w:rFonts w:ascii="Times New Roman" w:eastAsia="Times New Roman" w:hAnsi="Times New Roman" w:cs="Times New Roman"/>
          <w:b/>
          <w:bCs/>
          <w:caps/>
          <w:color w:val="263238"/>
          <w:sz w:val="68"/>
          <w:szCs w:val="68"/>
          <w:lang w:eastAsia="ru-RU"/>
        </w:rPr>
      </w:pPr>
      <w:r>
        <w:rPr>
          <w:rFonts w:ascii="Arial" w:hAnsi="Arial" w:cs="Arial"/>
          <w:noProof/>
          <w:color w:val="89B342"/>
          <w:sz w:val="28"/>
          <w:szCs w:val="28"/>
          <w:shd w:val="clear" w:color="auto" w:fill="FFFFFF"/>
          <w:lang w:eastAsia="ru-RU"/>
        </w:rPr>
        <w:drawing>
          <wp:inline distT="0" distB="0" distL="0" distR="0" wp14:anchorId="1F30195A" wp14:editId="13496458">
            <wp:extent cx="2428875" cy="876300"/>
            <wp:effectExtent l="0" t="0" r="9525" b="0"/>
            <wp:docPr id="3" name="Рисунок 3" descr="Лого ФБУЗ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Лого ФБУЗ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875" cy="87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23527C"/>
          <w:sz w:val="28"/>
          <w:szCs w:val="28"/>
          <w:shd w:val="clear" w:color="auto" w:fill="FFFFFF"/>
          <w:lang w:eastAsia="ru-RU"/>
        </w:rPr>
        <w:drawing>
          <wp:inline distT="0" distB="0" distL="0" distR="0" wp14:anchorId="019B44DC" wp14:editId="3CAD6AF0">
            <wp:extent cx="2867025" cy="876300"/>
            <wp:effectExtent l="0" t="0" r="9525" b="0"/>
            <wp:docPr id="4" name="Рисунок 4" descr="Лого Федеральная служба по надзору в сфере защиты прав потребителя и благополучия человека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Лого Федеральная служба по надзору в сфере защиты прав потребителя и благополучия человека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7025" cy="87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97FD7" w:rsidRDefault="00C97FD7" w:rsidP="00C97FD7">
      <w:pPr>
        <w:shd w:val="clear" w:color="auto" w:fill="FFFFFF"/>
        <w:spacing w:line="240" w:lineRule="auto"/>
        <w:rPr>
          <w:rFonts w:ascii="Arial" w:eastAsia="Times New Roman" w:hAnsi="Arial" w:cs="Arial"/>
          <w:color w:val="263238"/>
          <w:sz w:val="28"/>
          <w:szCs w:val="28"/>
          <w:lang w:eastAsia="ru-RU"/>
        </w:rPr>
      </w:pPr>
    </w:p>
    <w:p w:rsidR="00C97FD7" w:rsidRDefault="00C97FD7" w:rsidP="00C97FD7">
      <w:pPr>
        <w:shd w:val="clear" w:color="auto" w:fill="FFFFFF"/>
        <w:spacing w:line="240" w:lineRule="auto"/>
        <w:rPr>
          <w:rFonts w:ascii="Arial" w:eastAsia="Times New Roman" w:hAnsi="Arial" w:cs="Arial"/>
          <w:color w:val="263238"/>
          <w:sz w:val="28"/>
          <w:szCs w:val="28"/>
          <w:lang w:eastAsia="ru-RU"/>
        </w:rPr>
      </w:pPr>
    </w:p>
    <w:p w:rsidR="009334B5" w:rsidRPr="005C3573" w:rsidRDefault="009334B5" w:rsidP="009334B5">
      <w:pPr>
        <w:shd w:val="clear" w:color="auto" w:fill="FFFFFF"/>
        <w:spacing w:after="150" w:line="825" w:lineRule="atLeast"/>
        <w:outlineLvl w:val="1"/>
        <w:rPr>
          <w:rFonts w:ascii="Times New Roman" w:eastAsia="Times New Roman" w:hAnsi="Times New Roman" w:cs="Times New Roman"/>
          <w:b/>
          <w:bCs/>
          <w:caps/>
          <w:color w:val="263238"/>
          <w:sz w:val="68"/>
          <w:szCs w:val="68"/>
          <w:lang w:eastAsia="ru-RU"/>
        </w:rPr>
      </w:pPr>
      <w:r w:rsidRPr="005C3573">
        <w:rPr>
          <w:rFonts w:ascii="Times New Roman" w:eastAsia="Times New Roman" w:hAnsi="Times New Roman" w:cs="Times New Roman"/>
          <w:b/>
          <w:bCs/>
          <w:caps/>
          <w:color w:val="263238"/>
          <w:sz w:val="68"/>
          <w:szCs w:val="68"/>
          <w:lang w:eastAsia="ru-RU"/>
        </w:rPr>
        <w:t>Подчищающая иммунизация против полиомиелита</w:t>
      </w:r>
    </w:p>
    <w:p w:rsidR="009334B5" w:rsidRPr="005C3573" w:rsidRDefault="009334B5" w:rsidP="009334B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334B5" w:rsidRPr="005C3573" w:rsidRDefault="009334B5" w:rsidP="009334B5">
      <w:pPr>
        <w:shd w:val="clear" w:color="auto" w:fill="FFFFFF"/>
        <w:spacing w:after="150" w:line="420" w:lineRule="atLeast"/>
        <w:jc w:val="both"/>
        <w:rPr>
          <w:rFonts w:ascii="Arial" w:eastAsia="Times New Roman" w:hAnsi="Arial" w:cs="Arial"/>
          <w:color w:val="263238"/>
          <w:sz w:val="28"/>
          <w:szCs w:val="28"/>
          <w:lang w:eastAsia="ru-RU"/>
        </w:rPr>
      </w:pPr>
      <w:r w:rsidRPr="005C3573">
        <w:rPr>
          <w:rFonts w:ascii="Arial" w:eastAsia="Times New Roman" w:hAnsi="Arial" w:cs="Arial"/>
          <w:color w:val="263238"/>
          <w:sz w:val="28"/>
          <w:szCs w:val="28"/>
          <w:lang w:eastAsia="ru-RU"/>
        </w:rPr>
        <w:t>Главный государственный санитарный врач Российской Федерации Анна Попова утвердила </w:t>
      </w:r>
      <w:hyperlink r:id="rId9" w:history="1">
        <w:r w:rsidRPr="005C3573">
          <w:rPr>
            <w:rFonts w:ascii="Arial" w:eastAsia="Times New Roman" w:hAnsi="Arial" w:cs="Arial"/>
            <w:color w:val="89B342"/>
            <w:sz w:val="28"/>
            <w:szCs w:val="28"/>
            <w:u w:val="single"/>
            <w:lang w:eastAsia="ru-RU"/>
          </w:rPr>
          <w:t>постановление о проведении подчищающей иммунизации против полиомиелита в 2022 году</w:t>
        </w:r>
      </w:hyperlink>
      <w:r w:rsidRPr="005C3573">
        <w:rPr>
          <w:rFonts w:ascii="Arial" w:eastAsia="Times New Roman" w:hAnsi="Arial" w:cs="Arial"/>
          <w:color w:val="263238"/>
          <w:sz w:val="28"/>
          <w:szCs w:val="28"/>
          <w:lang w:eastAsia="ru-RU"/>
        </w:rPr>
        <w:t>.</w:t>
      </w:r>
    </w:p>
    <w:p w:rsidR="009334B5" w:rsidRPr="005C3573" w:rsidRDefault="009334B5" w:rsidP="009334B5">
      <w:pPr>
        <w:shd w:val="clear" w:color="auto" w:fill="FFFFFF"/>
        <w:spacing w:after="150" w:line="420" w:lineRule="atLeast"/>
        <w:jc w:val="both"/>
        <w:rPr>
          <w:rFonts w:ascii="Arial" w:eastAsia="Times New Roman" w:hAnsi="Arial" w:cs="Arial"/>
          <w:color w:val="263238"/>
          <w:sz w:val="28"/>
          <w:szCs w:val="28"/>
          <w:lang w:eastAsia="ru-RU"/>
        </w:rPr>
      </w:pPr>
      <w:r w:rsidRPr="005C3573">
        <w:rPr>
          <w:rFonts w:ascii="Arial" w:eastAsia="Times New Roman" w:hAnsi="Arial" w:cs="Arial"/>
          <w:color w:val="263238"/>
          <w:sz w:val="28"/>
          <w:szCs w:val="28"/>
          <w:lang w:eastAsia="ru-RU"/>
        </w:rPr>
        <w:t>Согласно постановлению, с 11 апреля 2022 года на территории Российской Федерации стартуют мероприятия по иммунизации детей в возрасте до 5 лет включительно, ранее не привитых против полиомиелита и не получивших профилактические прививки в сроки, установленные национальным календарем профилактических прививок.</w:t>
      </w:r>
    </w:p>
    <w:p w:rsidR="009334B5" w:rsidRPr="005C3573" w:rsidRDefault="009334B5" w:rsidP="009334B5">
      <w:pPr>
        <w:shd w:val="clear" w:color="auto" w:fill="FFFFFF"/>
        <w:spacing w:after="150" w:line="420" w:lineRule="atLeast"/>
        <w:jc w:val="both"/>
        <w:rPr>
          <w:rFonts w:ascii="Arial" w:eastAsia="Times New Roman" w:hAnsi="Arial" w:cs="Arial"/>
          <w:color w:val="263238"/>
          <w:sz w:val="28"/>
          <w:szCs w:val="28"/>
          <w:lang w:eastAsia="ru-RU"/>
        </w:rPr>
      </w:pPr>
      <w:r w:rsidRPr="005C3573">
        <w:rPr>
          <w:rFonts w:ascii="Arial" w:eastAsia="Times New Roman" w:hAnsi="Arial" w:cs="Arial"/>
          <w:color w:val="263238"/>
          <w:sz w:val="28"/>
          <w:szCs w:val="28"/>
          <w:lang w:eastAsia="ru-RU"/>
        </w:rPr>
        <w:t>Мероприятия также коснутся детей в возрасте до 14 лет включительно, въехавших на территорию Российской Федерации из Луганской Народной Республики, Донецкой Народной Республики и Украины, не привитых против полиомиелита и не имеющих сведений о профилактических прививках.</w:t>
      </w:r>
    </w:p>
    <w:p w:rsidR="009334B5" w:rsidRPr="005C3573" w:rsidRDefault="009334B5" w:rsidP="009334B5">
      <w:pPr>
        <w:spacing w:before="300" w:after="450" w:line="420" w:lineRule="atLeast"/>
        <w:jc w:val="both"/>
        <w:rPr>
          <w:rFonts w:ascii="Arial" w:eastAsia="Times New Roman" w:hAnsi="Arial" w:cs="Arial"/>
          <w:color w:val="263238"/>
          <w:sz w:val="28"/>
          <w:szCs w:val="28"/>
          <w:lang w:eastAsia="ru-RU"/>
        </w:rPr>
      </w:pPr>
      <w:r w:rsidRPr="005C3573">
        <w:rPr>
          <w:rFonts w:ascii="Arial" w:eastAsia="Times New Roman" w:hAnsi="Arial" w:cs="Arial"/>
          <w:color w:val="263238"/>
          <w:sz w:val="28"/>
          <w:szCs w:val="28"/>
          <w:lang w:eastAsia="ru-RU"/>
        </w:rPr>
        <w:t>Решение принято в связи с угрозой завоза вирусов полиомиелита из стран высокого риска. Принятые меры будут способствовать укреплению коллективного иммунитета и общественного здоровья в целом.</w:t>
      </w:r>
    </w:p>
    <w:p w:rsidR="009334B5" w:rsidRPr="005C3573" w:rsidRDefault="009334B5" w:rsidP="009334B5">
      <w:pPr>
        <w:shd w:val="clear" w:color="auto" w:fill="FFFFFF"/>
        <w:spacing w:after="150" w:line="420" w:lineRule="atLeast"/>
        <w:jc w:val="both"/>
        <w:rPr>
          <w:rFonts w:ascii="Arial" w:eastAsia="Times New Roman" w:hAnsi="Arial" w:cs="Arial"/>
          <w:color w:val="263238"/>
          <w:sz w:val="28"/>
          <w:szCs w:val="28"/>
          <w:lang w:eastAsia="ru-RU"/>
        </w:rPr>
      </w:pPr>
      <w:hyperlink r:id="rId10" w:history="1">
        <w:r w:rsidRPr="005C3573">
          <w:rPr>
            <w:rFonts w:ascii="Arial" w:eastAsia="Times New Roman" w:hAnsi="Arial" w:cs="Arial"/>
            <w:color w:val="89B342"/>
            <w:sz w:val="28"/>
            <w:szCs w:val="28"/>
            <w:u w:val="single"/>
            <w:lang w:eastAsia="ru-RU"/>
          </w:rPr>
          <w:t>Полиомиелит</w:t>
        </w:r>
      </w:hyperlink>
      <w:r w:rsidRPr="005C3573">
        <w:rPr>
          <w:rFonts w:ascii="Arial" w:eastAsia="Times New Roman" w:hAnsi="Arial" w:cs="Arial"/>
          <w:color w:val="263238"/>
          <w:sz w:val="28"/>
          <w:szCs w:val="28"/>
          <w:lang w:eastAsia="ru-RU"/>
        </w:rPr>
        <w:t xml:space="preserve"> – опасное инфекционное заболевание, вызванное </w:t>
      </w:r>
      <w:proofErr w:type="spellStart"/>
      <w:r w:rsidRPr="005C3573">
        <w:rPr>
          <w:rFonts w:ascii="Arial" w:eastAsia="Times New Roman" w:hAnsi="Arial" w:cs="Arial"/>
          <w:color w:val="263238"/>
          <w:sz w:val="28"/>
          <w:szCs w:val="28"/>
          <w:lang w:eastAsia="ru-RU"/>
        </w:rPr>
        <w:t>полиовирусом</w:t>
      </w:r>
      <w:proofErr w:type="spellEnd"/>
      <w:r w:rsidRPr="005C3573">
        <w:rPr>
          <w:rFonts w:ascii="Arial" w:eastAsia="Times New Roman" w:hAnsi="Arial" w:cs="Arial"/>
          <w:color w:val="263238"/>
          <w:sz w:val="28"/>
          <w:szCs w:val="28"/>
          <w:lang w:eastAsia="ru-RU"/>
        </w:rPr>
        <w:t>. Он поражает нервную систему и может вызвать </w:t>
      </w:r>
      <w:hyperlink r:id="rId11" w:history="1">
        <w:r w:rsidRPr="005C3573">
          <w:rPr>
            <w:rFonts w:ascii="Arial" w:eastAsia="Times New Roman" w:hAnsi="Arial" w:cs="Arial"/>
            <w:color w:val="89B342"/>
            <w:sz w:val="28"/>
            <w:szCs w:val="28"/>
            <w:u w:val="single"/>
            <w:lang w:eastAsia="ru-RU"/>
          </w:rPr>
          <w:t>паралич и даже смерть</w:t>
        </w:r>
      </w:hyperlink>
      <w:r w:rsidRPr="005C3573">
        <w:rPr>
          <w:rFonts w:ascii="Arial" w:eastAsia="Times New Roman" w:hAnsi="Arial" w:cs="Arial"/>
          <w:color w:val="263238"/>
          <w:sz w:val="28"/>
          <w:szCs w:val="28"/>
          <w:lang w:eastAsia="ru-RU"/>
        </w:rPr>
        <w:t>.</w:t>
      </w:r>
      <w:r w:rsidRPr="005C3573">
        <w:rPr>
          <w:rFonts w:ascii="Arial" w:eastAsia="Times New Roman" w:hAnsi="Arial" w:cs="Arial"/>
          <w:color w:val="263238"/>
          <w:sz w:val="28"/>
          <w:szCs w:val="28"/>
          <w:lang w:eastAsia="ru-RU"/>
        </w:rPr>
        <w:br/>
        <w:t>В 2002 году Россия наряду с другими странами европейского региона получила статус страны, свободной от полиомиелита. Этот статус сохраняется до настоящего времени благодаря ежегодно проводимой иммунизации детей и высокому качеству эпиднадзора.</w:t>
      </w:r>
    </w:p>
    <w:p w:rsidR="009334B5" w:rsidRPr="005C3573" w:rsidRDefault="009334B5" w:rsidP="009334B5">
      <w:pPr>
        <w:spacing w:before="300" w:after="450" w:line="420" w:lineRule="atLeast"/>
        <w:jc w:val="both"/>
        <w:rPr>
          <w:rFonts w:ascii="Arial" w:eastAsia="Times New Roman" w:hAnsi="Arial" w:cs="Arial"/>
          <w:color w:val="263238"/>
          <w:sz w:val="28"/>
          <w:szCs w:val="28"/>
          <w:lang w:eastAsia="ru-RU"/>
        </w:rPr>
      </w:pPr>
      <w:r w:rsidRPr="005C3573">
        <w:rPr>
          <w:rFonts w:ascii="Arial" w:eastAsia="Times New Roman" w:hAnsi="Arial" w:cs="Arial"/>
          <w:color w:val="263238"/>
          <w:sz w:val="28"/>
          <w:szCs w:val="28"/>
          <w:lang w:eastAsia="ru-RU"/>
        </w:rPr>
        <w:t>Вакцинация является наиболее эффективным способом защиты от полиомиелита.</w:t>
      </w:r>
    </w:p>
    <w:p w:rsidR="009334B5" w:rsidRPr="005C3573" w:rsidRDefault="009334B5" w:rsidP="009334B5">
      <w:pPr>
        <w:shd w:val="clear" w:color="auto" w:fill="FFFFFF"/>
        <w:spacing w:after="150" w:line="420" w:lineRule="atLeast"/>
        <w:jc w:val="both"/>
        <w:rPr>
          <w:rFonts w:ascii="Arial" w:eastAsia="Times New Roman" w:hAnsi="Arial" w:cs="Arial"/>
          <w:color w:val="263238"/>
          <w:sz w:val="28"/>
          <w:szCs w:val="28"/>
          <w:lang w:eastAsia="ru-RU"/>
        </w:rPr>
      </w:pPr>
      <w:r w:rsidRPr="005C3573">
        <w:rPr>
          <w:rFonts w:ascii="Arial" w:eastAsia="Times New Roman" w:hAnsi="Arial" w:cs="Arial"/>
          <w:color w:val="263238"/>
          <w:sz w:val="28"/>
          <w:szCs w:val="28"/>
          <w:lang w:eastAsia="ru-RU"/>
        </w:rPr>
        <w:t>Берегите себя и своих детей! Будьте здоровы!</w:t>
      </w:r>
    </w:p>
    <w:p w:rsidR="00075F06" w:rsidRDefault="00075F06" w:rsidP="009334B5">
      <w:pPr>
        <w:shd w:val="clear" w:color="auto" w:fill="FFFFFF"/>
        <w:spacing w:line="240" w:lineRule="auto"/>
      </w:pPr>
      <w:bookmarkStart w:id="0" w:name="_GoBack"/>
      <w:bookmarkEnd w:id="0"/>
    </w:p>
    <w:sectPr w:rsidR="00075F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4916A5"/>
    <w:multiLevelType w:val="multilevel"/>
    <w:tmpl w:val="E8C2D7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88972B6"/>
    <w:multiLevelType w:val="multilevel"/>
    <w:tmpl w:val="F06CF7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7FD7"/>
    <w:rsid w:val="00075F06"/>
    <w:rsid w:val="00623D24"/>
    <w:rsid w:val="009334B5"/>
    <w:rsid w:val="00982A83"/>
    <w:rsid w:val="00C97F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0A097BE-C0C8-4D7E-9895-AF0197CC2B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97FD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C97FD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rospotrebnadzor.ru/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hyperlink" Target="https://cgon.rospotrebnadzor.ru/istoriya/istoriya-sanitarnogo-prosveshcheniya/iz-istorii-epidemiy/zheleznye-legkie-dykhatelnye-apparaty-dlya-zhertv-poliomielita/?sphrase_id=20697" TargetMode="External"/><Relationship Id="rId5" Type="http://schemas.openxmlformats.org/officeDocument/2006/relationships/hyperlink" Target="https://cgon.rospotrebnadzor.ru/" TargetMode="External"/><Relationship Id="rId10" Type="http://schemas.openxmlformats.org/officeDocument/2006/relationships/hyperlink" Target="https://cgon.rospotrebnadzor.ru/naseleniyu/infektsionnye-i-parazitarnye-zabolevaniya/poliomielit-po-preznemu-aktualen/?sphrase_id=20696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publication.pravo.gov.ru/Document/View/000120220406000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296</Words>
  <Characters>1692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Supervisor</dc:creator>
  <cp:keywords/>
  <dc:description/>
  <cp:lastModifiedBy>Supervisor</cp:lastModifiedBy>
  <cp:revision>2</cp:revision>
  <dcterms:created xsi:type="dcterms:W3CDTF">2026-01-20T09:30:00Z</dcterms:created>
  <dcterms:modified xsi:type="dcterms:W3CDTF">2026-01-20T09:30:00Z</dcterms:modified>
</cp:coreProperties>
</file>