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8BA" w:rsidRDefault="00F608B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608BA" w:rsidRDefault="00F608BA">
      <w:pPr>
        <w:pStyle w:val="ConsPlusNormal"/>
        <w:outlineLvl w:val="0"/>
      </w:pPr>
    </w:p>
    <w:p w:rsidR="00F608BA" w:rsidRDefault="00F608BA">
      <w:pPr>
        <w:pStyle w:val="ConsPlusTitle"/>
        <w:jc w:val="center"/>
        <w:outlineLvl w:val="0"/>
      </w:pPr>
      <w:r>
        <w:t>СЛУЖБА ВЕТЕРИНАРИИ ИРКУТСКОЙ ОБЛАСТИ</w:t>
      </w:r>
    </w:p>
    <w:p w:rsidR="00F608BA" w:rsidRDefault="00F608BA">
      <w:pPr>
        <w:pStyle w:val="ConsPlusTitle"/>
        <w:jc w:val="both"/>
      </w:pPr>
    </w:p>
    <w:p w:rsidR="00F608BA" w:rsidRDefault="00F608BA">
      <w:pPr>
        <w:pStyle w:val="ConsPlusTitle"/>
        <w:jc w:val="center"/>
      </w:pPr>
      <w:r>
        <w:t>ПРИКАЗ</w:t>
      </w:r>
    </w:p>
    <w:p w:rsidR="00F608BA" w:rsidRDefault="00F608BA">
      <w:pPr>
        <w:pStyle w:val="ConsPlusTitle"/>
        <w:jc w:val="center"/>
      </w:pPr>
      <w:r>
        <w:t>от 11 августа 2020 г. N 46-спр</w:t>
      </w:r>
    </w:p>
    <w:p w:rsidR="00F608BA" w:rsidRDefault="00F608BA">
      <w:pPr>
        <w:pStyle w:val="ConsPlusTitle"/>
        <w:jc w:val="both"/>
      </w:pPr>
    </w:p>
    <w:p w:rsidR="00F608BA" w:rsidRDefault="00F608BA">
      <w:pPr>
        <w:pStyle w:val="ConsPlusTitle"/>
        <w:jc w:val="center"/>
      </w:pPr>
      <w:r>
        <w:t>ОБ УСТАНОВЛЕНИИ ТРЕБОВАНИЙ К БИРКЕ И ПЕРИОДИЧНОСТИ</w:t>
      </w:r>
    </w:p>
    <w:p w:rsidR="00F608BA" w:rsidRDefault="00F608BA">
      <w:pPr>
        <w:pStyle w:val="ConsPlusTitle"/>
        <w:jc w:val="center"/>
      </w:pPr>
      <w:r>
        <w:t>БИРКОВАНИЯ СОБАК И КОШЕК БЕЗ ВЛАДЕЛЬЦЕВ</w:t>
      </w:r>
    </w:p>
    <w:p w:rsidR="00F608BA" w:rsidRDefault="00F608BA">
      <w:pPr>
        <w:pStyle w:val="ConsPlusNormal"/>
        <w:jc w:val="both"/>
      </w:pPr>
    </w:p>
    <w:p w:rsidR="00F608BA" w:rsidRDefault="00F608BA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26</w:t>
        </w:r>
      </w:hyperlink>
      <w:r>
        <w:t xml:space="preserve"> Порядка осуществления деятельности по обращению с животными без владельцев на территории Иркутской области, утвержденного приказом службы ветеринарии Иркутской области от 26 декабря 2019 года N 68-спр, руководствуясь </w:t>
      </w:r>
      <w:hyperlink r:id="rId6" w:history="1">
        <w:r>
          <w:rPr>
            <w:color w:val="0000FF"/>
          </w:rPr>
          <w:t>статьей 21</w:t>
        </w:r>
      </w:hyperlink>
      <w:r>
        <w:t xml:space="preserve"> Устава Иркутской области, приказываю:</w:t>
      </w:r>
    </w:p>
    <w:p w:rsidR="00F608BA" w:rsidRDefault="00F608BA">
      <w:pPr>
        <w:pStyle w:val="ConsPlusNormal"/>
        <w:jc w:val="both"/>
      </w:pPr>
    </w:p>
    <w:p w:rsidR="00F608BA" w:rsidRDefault="00F608BA">
      <w:pPr>
        <w:pStyle w:val="ConsPlusNormal"/>
        <w:ind w:firstLine="540"/>
        <w:jc w:val="both"/>
      </w:pPr>
      <w:r>
        <w:t xml:space="preserve">1. Установить </w:t>
      </w:r>
      <w:hyperlink w:anchor="P32" w:history="1">
        <w:r>
          <w:rPr>
            <w:color w:val="0000FF"/>
          </w:rPr>
          <w:t>требования</w:t>
        </w:r>
      </w:hyperlink>
      <w:r>
        <w:t xml:space="preserve"> к бирке и периодичности биркования собак и кошек без владельцев (прилагаются).</w:t>
      </w:r>
    </w:p>
    <w:p w:rsidR="00F608BA" w:rsidRDefault="00F608BA">
      <w:pPr>
        <w:pStyle w:val="ConsPlusNormal"/>
        <w:jc w:val="both"/>
      </w:pPr>
    </w:p>
    <w:p w:rsidR="00F608BA" w:rsidRDefault="00F608BA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службы ветеринарии Иркутской области от 6 декабря 2016 года N 70-спр "Об установлении требований к бирке и периодичности биркования безнадзорных собак и кошек".</w:t>
      </w:r>
    </w:p>
    <w:p w:rsidR="00F608BA" w:rsidRDefault="00F608BA">
      <w:pPr>
        <w:pStyle w:val="ConsPlusNormal"/>
        <w:jc w:val="both"/>
      </w:pPr>
    </w:p>
    <w:p w:rsidR="00F608BA" w:rsidRDefault="00F608BA">
      <w:pPr>
        <w:pStyle w:val="ConsPlusNormal"/>
        <w:ind w:firstLine="540"/>
        <w:jc w:val="both"/>
      </w:pPr>
      <w:r>
        <w:t>3. Настоящий приказ вступает в силу со дня его официального опубликования на "Официальном интернет-портале правовой информации" (www.pravo.gov.ru).</w:t>
      </w:r>
    </w:p>
    <w:p w:rsidR="00F608BA" w:rsidRDefault="00F608BA">
      <w:pPr>
        <w:pStyle w:val="ConsPlusNormal"/>
        <w:jc w:val="both"/>
      </w:pPr>
    </w:p>
    <w:p w:rsidR="00F608BA" w:rsidRDefault="00F608BA">
      <w:pPr>
        <w:pStyle w:val="ConsPlusNormal"/>
        <w:jc w:val="right"/>
      </w:pPr>
      <w:r>
        <w:t>Руководитель службы ветеринарии</w:t>
      </w:r>
    </w:p>
    <w:p w:rsidR="00F608BA" w:rsidRDefault="00F608BA">
      <w:pPr>
        <w:pStyle w:val="ConsPlusNormal"/>
        <w:jc w:val="right"/>
      </w:pPr>
      <w:r>
        <w:t>Иркутской области - главный</w:t>
      </w:r>
    </w:p>
    <w:p w:rsidR="00F608BA" w:rsidRDefault="00F608BA">
      <w:pPr>
        <w:pStyle w:val="ConsPlusNormal"/>
        <w:jc w:val="right"/>
      </w:pPr>
      <w:r>
        <w:t>государственный инспектор Иркутской</w:t>
      </w:r>
    </w:p>
    <w:p w:rsidR="00F608BA" w:rsidRDefault="00F608BA">
      <w:pPr>
        <w:pStyle w:val="ConsPlusNormal"/>
        <w:jc w:val="right"/>
      </w:pPr>
      <w:r>
        <w:t>области в области обращения с животными</w:t>
      </w:r>
    </w:p>
    <w:p w:rsidR="00F608BA" w:rsidRDefault="00F608BA">
      <w:pPr>
        <w:pStyle w:val="ConsPlusNormal"/>
        <w:jc w:val="right"/>
      </w:pPr>
      <w:r>
        <w:t>С.С.ШЕВЧЕНКО</w:t>
      </w:r>
    </w:p>
    <w:p w:rsidR="00F608BA" w:rsidRDefault="00F608BA">
      <w:pPr>
        <w:pStyle w:val="ConsPlusNormal"/>
        <w:jc w:val="both"/>
      </w:pPr>
    </w:p>
    <w:p w:rsidR="00F608BA" w:rsidRDefault="00F608BA">
      <w:pPr>
        <w:pStyle w:val="ConsPlusNormal"/>
        <w:jc w:val="both"/>
      </w:pPr>
    </w:p>
    <w:p w:rsidR="00F608BA" w:rsidRDefault="00F608BA">
      <w:pPr>
        <w:pStyle w:val="ConsPlusNormal"/>
        <w:jc w:val="both"/>
      </w:pPr>
    </w:p>
    <w:p w:rsidR="00F608BA" w:rsidRDefault="00F608BA">
      <w:pPr>
        <w:pStyle w:val="ConsPlusNormal"/>
        <w:jc w:val="both"/>
      </w:pPr>
    </w:p>
    <w:p w:rsidR="00F608BA" w:rsidRDefault="00F608BA">
      <w:pPr>
        <w:pStyle w:val="ConsPlusNormal"/>
        <w:jc w:val="both"/>
      </w:pPr>
    </w:p>
    <w:p w:rsidR="00F608BA" w:rsidRDefault="00F608BA">
      <w:pPr>
        <w:pStyle w:val="ConsPlusNormal"/>
        <w:jc w:val="right"/>
        <w:outlineLvl w:val="0"/>
      </w:pPr>
      <w:r>
        <w:t>Приложение</w:t>
      </w:r>
    </w:p>
    <w:p w:rsidR="00F608BA" w:rsidRDefault="00F608BA">
      <w:pPr>
        <w:pStyle w:val="ConsPlusNormal"/>
        <w:jc w:val="right"/>
      </w:pPr>
      <w:r>
        <w:t>к приказу службы ветеринарии</w:t>
      </w:r>
    </w:p>
    <w:p w:rsidR="00F608BA" w:rsidRDefault="00F608BA">
      <w:pPr>
        <w:pStyle w:val="ConsPlusNormal"/>
        <w:jc w:val="right"/>
      </w:pPr>
      <w:r>
        <w:t>Иркутской области</w:t>
      </w:r>
    </w:p>
    <w:p w:rsidR="00F608BA" w:rsidRDefault="00F608BA">
      <w:pPr>
        <w:pStyle w:val="ConsPlusNormal"/>
        <w:jc w:val="right"/>
      </w:pPr>
      <w:r>
        <w:t>от 11 августа 2020 г. N 46-спр</w:t>
      </w:r>
    </w:p>
    <w:p w:rsidR="00F608BA" w:rsidRDefault="00F608BA">
      <w:pPr>
        <w:pStyle w:val="ConsPlusNormal"/>
        <w:jc w:val="both"/>
      </w:pPr>
    </w:p>
    <w:p w:rsidR="00F608BA" w:rsidRDefault="00F608BA">
      <w:pPr>
        <w:pStyle w:val="ConsPlusTitle"/>
        <w:jc w:val="center"/>
      </w:pPr>
      <w:bookmarkStart w:id="0" w:name="P32"/>
      <w:bookmarkEnd w:id="0"/>
      <w:r>
        <w:t>ТРЕБОВАНИЯ</w:t>
      </w:r>
    </w:p>
    <w:p w:rsidR="00F608BA" w:rsidRDefault="00F608BA">
      <w:pPr>
        <w:pStyle w:val="ConsPlusTitle"/>
        <w:jc w:val="center"/>
      </w:pPr>
      <w:r>
        <w:t>К БИРКЕ И ПЕРИОДИЧНОСТИ БИРКОВАНИЯ СОБАК И КОШЕК</w:t>
      </w:r>
    </w:p>
    <w:p w:rsidR="00F608BA" w:rsidRDefault="00F608BA">
      <w:pPr>
        <w:pStyle w:val="ConsPlusTitle"/>
        <w:jc w:val="center"/>
      </w:pPr>
      <w:r>
        <w:t>БЕЗ ВЛАДЕЛЬЦЕВ</w:t>
      </w:r>
    </w:p>
    <w:p w:rsidR="00F608BA" w:rsidRDefault="00F608BA">
      <w:pPr>
        <w:pStyle w:val="ConsPlusNormal"/>
        <w:jc w:val="both"/>
      </w:pPr>
    </w:p>
    <w:p w:rsidR="00F608BA" w:rsidRDefault="00F608BA">
      <w:pPr>
        <w:pStyle w:val="ConsPlusNormal"/>
        <w:ind w:firstLine="540"/>
        <w:jc w:val="both"/>
      </w:pPr>
      <w:r>
        <w:t>1. Биркование - способ мечения отловленных собак без владельцев ушной биркой яркого цвета с указанием на ней идентификационного индивидуального номера с целью учета и идентификации данного животного при повторном отлове.</w:t>
      </w:r>
    </w:p>
    <w:p w:rsidR="00F608BA" w:rsidRDefault="00F608BA">
      <w:pPr>
        <w:pStyle w:val="ConsPlusNormal"/>
        <w:spacing w:before="220"/>
        <w:ind w:firstLine="540"/>
        <w:jc w:val="both"/>
      </w:pPr>
      <w:r>
        <w:t>Учитывая анатомо-физиологические особенности строения ушной раковины кошки, с целью учета и идентификации кошки используется неснимаемый ошейник.</w:t>
      </w:r>
    </w:p>
    <w:p w:rsidR="00F608BA" w:rsidRDefault="00F608BA">
      <w:pPr>
        <w:pStyle w:val="ConsPlusNormal"/>
        <w:spacing w:before="220"/>
        <w:ind w:firstLine="540"/>
        <w:jc w:val="both"/>
      </w:pPr>
      <w:r>
        <w:t xml:space="preserve">2. Специализированная организация по отлову и содержанию собак и кошек без владельцев осуществляет биркование собак и закрепление неснимаемого ошейника для кошек до момента </w:t>
      </w:r>
      <w:r>
        <w:lastRenderedPageBreak/>
        <w:t>возврата животных на прежние места их обитания.</w:t>
      </w:r>
    </w:p>
    <w:p w:rsidR="00F608BA" w:rsidRDefault="00F608BA">
      <w:pPr>
        <w:pStyle w:val="ConsPlusNormal"/>
        <w:spacing w:before="220"/>
        <w:ind w:firstLine="540"/>
        <w:jc w:val="both"/>
      </w:pPr>
      <w:r>
        <w:t>3. Биркование собак и закрепление неснимаемого ошейника для кошек осуществляется только в отношении животных, планируемых к возврату в места отлова.</w:t>
      </w:r>
    </w:p>
    <w:p w:rsidR="00F608BA" w:rsidRDefault="00F608BA">
      <w:pPr>
        <w:pStyle w:val="ConsPlusNormal"/>
        <w:spacing w:before="220"/>
        <w:ind w:firstLine="540"/>
        <w:jc w:val="both"/>
      </w:pPr>
      <w:r>
        <w:t>Бирка яркого цвета размещается на средней линии ушной раковины собаки (левой или правой) ближе к основанию.</w:t>
      </w:r>
    </w:p>
    <w:p w:rsidR="00F608BA" w:rsidRDefault="00F608BA">
      <w:pPr>
        <w:pStyle w:val="ConsPlusNormal"/>
        <w:spacing w:before="220"/>
        <w:ind w:firstLine="540"/>
        <w:jc w:val="both"/>
      </w:pPr>
      <w:r>
        <w:t>В качестве стандартного варианта используются ушные бирки и неснимаемые ошейники из эластичных термоустойчивых материалов ярких цветов с черным идентификационным индивидуальным номером.</w:t>
      </w:r>
    </w:p>
    <w:p w:rsidR="00F608BA" w:rsidRDefault="00F608BA">
      <w:pPr>
        <w:pStyle w:val="ConsPlusNormal"/>
        <w:spacing w:before="220"/>
        <w:ind w:firstLine="540"/>
        <w:jc w:val="both"/>
      </w:pPr>
      <w:r>
        <w:t>Для биркования собак рекомендуются ушные бирки следующих размеров: ширина - 15 - 20 мм, длина - 25 - 40 мм.</w:t>
      </w:r>
    </w:p>
    <w:p w:rsidR="00F608BA" w:rsidRDefault="00F608BA">
      <w:pPr>
        <w:pStyle w:val="ConsPlusNormal"/>
        <w:spacing w:before="220"/>
        <w:ind w:firstLine="540"/>
        <w:jc w:val="both"/>
      </w:pPr>
      <w:r>
        <w:t>4. Перед биркованием собак и закреплением неснимаемого ошейника для кошек на бирку и неснимаемый ошейник наносится идентификационный индивидуальный номер, который дублируется в учетном деле и реестре собак и кошек без владельцев. Идентификационный индивидуальный номер не должен стираться, смываться водой и выгорать на солнце.</w:t>
      </w:r>
    </w:p>
    <w:p w:rsidR="00F608BA" w:rsidRDefault="00F608BA">
      <w:pPr>
        <w:pStyle w:val="ConsPlusNormal"/>
        <w:spacing w:before="220"/>
        <w:ind w:firstLine="540"/>
        <w:jc w:val="both"/>
      </w:pPr>
      <w:r>
        <w:t>Идентификационный индивидуальный номер состоит из 6 знаков, расположенных в следующей последовательности:</w:t>
      </w:r>
    </w:p>
    <w:p w:rsidR="00F608BA" w:rsidRDefault="00F608BA">
      <w:pPr>
        <w:pStyle w:val="ConsPlusNormal"/>
        <w:spacing w:before="220"/>
        <w:ind w:firstLine="540"/>
        <w:jc w:val="both"/>
      </w:pPr>
      <w:r>
        <w:t>XX XXXX, где:</w:t>
      </w:r>
    </w:p>
    <w:p w:rsidR="00F608BA" w:rsidRDefault="00F608BA">
      <w:pPr>
        <w:pStyle w:val="ConsPlusNormal"/>
        <w:spacing w:before="220"/>
        <w:ind w:firstLine="540"/>
        <w:jc w:val="both"/>
      </w:pPr>
      <w:r>
        <w:t xml:space="preserve">XX - код муниципального образования согласно </w:t>
      </w:r>
      <w:hyperlink w:anchor="P67" w:history="1">
        <w:r>
          <w:rPr>
            <w:color w:val="0000FF"/>
          </w:rPr>
          <w:t>приложению</w:t>
        </w:r>
      </w:hyperlink>
      <w:r>
        <w:t>;</w:t>
      </w:r>
    </w:p>
    <w:p w:rsidR="00F608BA" w:rsidRDefault="00F608BA">
      <w:pPr>
        <w:pStyle w:val="ConsPlusNormal"/>
        <w:spacing w:before="220"/>
        <w:ind w:firstLine="540"/>
        <w:jc w:val="both"/>
      </w:pPr>
      <w:r>
        <w:t>XXXX - идентификационный индивидуальный номер собаки или кошки без владельца (нумерация сквозная отдельно по каждому муниципальному образованию).</w:t>
      </w:r>
    </w:p>
    <w:p w:rsidR="00F608BA" w:rsidRDefault="00F608BA">
      <w:pPr>
        <w:pStyle w:val="ConsPlusNormal"/>
        <w:spacing w:before="220"/>
        <w:ind w:firstLine="540"/>
        <w:jc w:val="both"/>
      </w:pPr>
      <w:r>
        <w:t>5. Биркование (закрепление неснимаемого ошейника) впервые отловленных животных без владельцев и отлов ранее биркованных (имеющих неснимаемый ошейник) животных без владельцев с целью ревакцинации осуществляется в соответствии со следующим графиком:</w:t>
      </w:r>
    </w:p>
    <w:p w:rsidR="00F608BA" w:rsidRDefault="00F608BA">
      <w:pPr>
        <w:pStyle w:val="ConsPlusNormal"/>
        <w:spacing w:before="220"/>
        <w:ind w:firstLine="540"/>
        <w:jc w:val="both"/>
      </w:pPr>
      <w:r>
        <w:t>2020 год - бирка (ошейник) красного цвета;</w:t>
      </w:r>
    </w:p>
    <w:p w:rsidR="00F608BA" w:rsidRDefault="00F608BA">
      <w:pPr>
        <w:pStyle w:val="ConsPlusNormal"/>
        <w:spacing w:before="220"/>
        <w:ind w:firstLine="540"/>
        <w:jc w:val="both"/>
      </w:pPr>
      <w:r>
        <w:t>2021 год - бирка (ошейник) зеленого цвета;</w:t>
      </w:r>
    </w:p>
    <w:p w:rsidR="00F608BA" w:rsidRDefault="00F608BA">
      <w:pPr>
        <w:pStyle w:val="ConsPlusNormal"/>
        <w:spacing w:before="220"/>
        <w:ind w:firstLine="540"/>
        <w:jc w:val="both"/>
      </w:pPr>
      <w:r>
        <w:t>2022 год - бирка (ошейник) красного цвета;</w:t>
      </w:r>
    </w:p>
    <w:p w:rsidR="00F608BA" w:rsidRDefault="00F608BA">
      <w:pPr>
        <w:pStyle w:val="ConsPlusNormal"/>
        <w:spacing w:before="220"/>
        <w:ind w:firstLine="540"/>
        <w:jc w:val="both"/>
      </w:pPr>
      <w:r>
        <w:t>2023 год - бирка (ошейник) зеленого цвета;</w:t>
      </w:r>
    </w:p>
    <w:p w:rsidR="00F608BA" w:rsidRDefault="00F608BA">
      <w:pPr>
        <w:pStyle w:val="ConsPlusNormal"/>
        <w:spacing w:before="220"/>
        <w:ind w:firstLine="540"/>
        <w:jc w:val="both"/>
      </w:pPr>
      <w:r>
        <w:t>2024 год - бирка (ошейник) красного цвета;</w:t>
      </w:r>
    </w:p>
    <w:p w:rsidR="00F608BA" w:rsidRDefault="00F608BA">
      <w:pPr>
        <w:pStyle w:val="ConsPlusNormal"/>
        <w:spacing w:before="220"/>
        <w:ind w:firstLine="540"/>
        <w:jc w:val="both"/>
      </w:pPr>
      <w:r>
        <w:t>и далее последующие годы соответственно.</w:t>
      </w:r>
    </w:p>
    <w:p w:rsidR="00F608BA" w:rsidRDefault="00F608BA">
      <w:pPr>
        <w:pStyle w:val="ConsPlusNormal"/>
        <w:jc w:val="both"/>
      </w:pPr>
    </w:p>
    <w:p w:rsidR="00F608BA" w:rsidRDefault="00F608BA">
      <w:pPr>
        <w:pStyle w:val="ConsPlusNormal"/>
        <w:jc w:val="right"/>
      </w:pPr>
      <w:r>
        <w:t>Заместитель руководителя службы</w:t>
      </w:r>
    </w:p>
    <w:p w:rsidR="00F608BA" w:rsidRDefault="00F608BA">
      <w:pPr>
        <w:pStyle w:val="ConsPlusNormal"/>
        <w:jc w:val="right"/>
      </w:pPr>
      <w:r>
        <w:t>ветеринарии Иркутской области -</w:t>
      </w:r>
    </w:p>
    <w:p w:rsidR="00F608BA" w:rsidRDefault="00F608BA">
      <w:pPr>
        <w:pStyle w:val="ConsPlusNormal"/>
        <w:jc w:val="right"/>
      </w:pPr>
      <w:r>
        <w:t>главный государственный инспектор</w:t>
      </w:r>
    </w:p>
    <w:p w:rsidR="00F608BA" w:rsidRDefault="00F608BA">
      <w:pPr>
        <w:pStyle w:val="ConsPlusNormal"/>
        <w:jc w:val="right"/>
      </w:pPr>
      <w:r>
        <w:t>Иркутской области в области</w:t>
      </w:r>
    </w:p>
    <w:p w:rsidR="00F608BA" w:rsidRDefault="00F608BA">
      <w:pPr>
        <w:pStyle w:val="ConsPlusNormal"/>
        <w:jc w:val="right"/>
      </w:pPr>
      <w:r>
        <w:t>обращения с животными</w:t>
      </w:r>
    </w:p>
    <w:p w:rsidR="00F608BA" w:rsidRDefault="00F608BA">
      <w:pPr>
        <w:pStyle w:val="ConsPlusNormal"/>
        <w:jc w:val="right"/>
      </w:pPr>
      <w:r>
        <w:t>И.И.ЛОБЫЦИН</w:t>
      </w:r>
    </w:p>
    <w:p w:rsidR="00F608BA" w:rsidRDefault="00F608BA">
      <w:pPr>
        <w:pStyle w:val="ConsPlusNormal"/>
        <w:jc w:val="both"/>
      </w:pPr>
    </w:p>
    <w:p w:rsidR="00F608BA" w:rsidRDefault="00F608BA">
      <w:pPr>
        <w:pStyle w:val="ConsPlusNormal"/>
        <w:jc w:val="both"/>
      </w:pPr>
    </w:p>
    <w:p w:rsidR="00F608BA" w:rsidRDefault="00F608BA">
      <w:pPr>
        <w:pStyle w:val="ConsPlusNormal"/>
        <w:jc w:val="both"/>
      </w:pPr>
    </w:p>
    <w:p w:rsidR="00F608BA" w:rsidRDefault="00F608BA">
      <w:pPr>
        <w:pStyle w:val="ConsPlusNormal"/>
        <w:jc w:val="both"/>
      </w:pPr>
    </w:p>
    <w:p w:rsidR="00F608BA" w:rsidRDefault="00F608BA">
      <w:pPr>
        <w:pStyle w:val="ConsPlusNormal"/>
        <w:jc w:val="both"/>
      </w:pPr>
    </w:p>
    <w:p w:rsidR="00F608BA" w:rsidRDefault="00F608BA">
      <w:pPr>
        <w:pStyle w:val="ConsPlusTitle"/>
        <w:jc w:val="center"/>
        <w:outlineLvl w:val="1"/>
      </w:pPr>
      <w:bookmarkStart w:id="1" w:name="P67"/>
      <w:bookmarkEnd w:id="1"/>
      <w:r>
        <w:lastRenderedPageBreak/>
        <w:t>ПЕРЕЧЕНЬ</w:t>
      </w:r>
    </w:p>
    <w:p w:rsidR="00F608BA" w:rsidRDefault="00F608BA">
      <w:pPr>
        <w:pStyle w:val="ConsPlusTitle"/>
        <w:jc w:val="center"/>
      </w:pPr>
      <w:r>
        <w:t>КОДОВ МУНИЦИПАЛЬНЫХ ОБРАЗОВАНИЙ ИРКУТСКОЙ ОБЛАСТИ</w:t>
      </w:r>
    </w:p>
    <w:p w:rsidR="00F608BA" w:rsidRDefault="00F608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"/>
        <w:gridCol w:w="6406"/>
      </w:tblGrid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город Братск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Зиминское городское муниципальное образование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город Иркутск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город Саянск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город Свирск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город Тулун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город Усолье-Сибирское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город Усть-Илимск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город Черемхово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Ангарский городской округ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Муниципальное образование города Бодайбо и района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Иркутское районное муниципальное образование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Братский район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Усть-Кутское муниципальное образование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Аларский район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Балаганский район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Баяндаевский район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Боханский район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Жигаловский район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Заларинский район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Зиминское районное муниципальное образование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Казачинско-Ленский район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Катангский район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Качугский район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Киренский район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Куйтунский район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Мамско-Чуйский район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Нижнеилимский район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Нижнеудинский район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Нукутский район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Ольхонское районное муниципальное образование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Осинский район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Слюдянский район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Тайшетский район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Тулунский район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Усольское районное муниципальное образование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Усть-Илимский район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Усть-Удинский район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Черемховское районное муниципальное образование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Чунское районное муниципальное образование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Шелеховский муниципальный район</w:t>
            </w:r>
          </w:p>
        </w:tc>
      </w:tr>
      <w:tr w:rsidR="00F608BA">
        <w:tc>
          <w:tcPr>
            <w:tcW w:w="691" w:type="dxa"/>
            <w:vAlign w:val="bottom"/>
          </w:tcPr>
          <w:p w:rsidR="00F608BA" w:rsidRDefault="00F608B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406" w:type="dxa"/>
            <w:vAlign w:val="bottom"/>
          </w:tcPr>
          <w:p w:rsidR="00F608BA" w:rsidRDefault="00F608BA">
            <w:pPr>
              <w:pStyle w:val="ConsPlusNormal"/>
            </w:pPr>
            <w:r>
              <w:t>Эхирит-Булагатский район</w:t>
            </w:r>
          </w:p>
        </w:tc>
      </w:tr>
    </w:tbl>
    <w:p w:rsidR="00F608BA" w:rsidRDefault="00F608BA">
      <w:pPr>
        <w:pStyle w:val="ConsPlusNormal"/>
        <w:jc w:val="both"/>
      </w:pPr>
    </w:p>
    <w:p w:rsidR="00F608BA" w:rsidRDefault="00F608BA">
      <w:pPr>
        <w:pStyle w:val="ConsPlusNormal"/>
        <w:jc w:val="both"/>
      </w:pPr>
    </w:p>
    <w:p w:rsidR="00F608BA" w:rsidRDefault="00F608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53E5" w:rsidRDefault="004C53E5">
      <w:bookmarkStart w:id="2" w:name="_GoBack"/>
      <w:bookmarkEnd w:id="2"/>
    </w:p>
    <w:sectPr w:rsidR="004C53E5" w:rsidSect="009B2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BA"/>
    <w:rsid w:val="004C53E5"/>
    <w:rsid w:val="00F6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0B27E-B768-43B3-8436-8B65553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8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08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08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0C1BC3F232A2EFBD906E371784874EA96FC9F564FA3AA3D3DF29DDA450AC91C31518650B0C1FC9E73716352ABF488247I4c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0C1BC3F232A2EFBD906E371784874EA96FC9F564FF3BA1D1D029DDA450AC91C3151865190C47C5E531093228AA1ED30117D1ADF7B0EE45E53C90B5I3c5H" TargetMode="External"/><Relationship Id="rId5" Type="http://schemas.openxmlformats.org/officeDocument/2006/relationships/hyperlink" Target="consultantplus://offline/ref=B10C1BC3F232A2EFBD906E371784874EA96FC9F564FE3BA7D2D229DDA450AC91C3151865190C47C5E53108322DAA1ED30117D1ADF7B0EE45E53C90B5I3c5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Ольга Викторовна</dc:creator>
  <cp:keywords/>
  <dc:description/>
  <cp:lastModifiedBy>Коршунова Ольга Викторовна</cp:lastModifiedBy>
  <cp:revision>1</cp:revision>
  <dcterms:created xsi:type="dcterms:W3CDTF">2022-01-26T07:28:00Z</dcterms:created>
  <dcterms:modified xsi:type="dcterms:W3CDTF">2022-01-26T07:28:00Z</dcterms:modified>
</cp:coreProperties>
</file>