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3B9B1E27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694CF3" w:rsidRPr="00694CF3">
        <w:rPr>
          <w:rFonts w:eastAsia="Calibri"/>
          <w:sz w:val="28"/>
          <w:szCs w:val="28"/>
          <w:lang w:eastAsia="en-US"/>
        </w:rPr>
        <w:t>садоводство «Первенец-новый», участок № 177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694CF3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9E6E81">
        <w:rPr>
          <w:sz w:val="28"/>
          <w:szCs w:val="28"/>
        </w:rPr>
        <w:t>2</w:t>
      </w:r>
      <w:r w:rsidR="00694CF3">
        <w:rPr>
          <w:sz w:val="28"/>
          <w:szCs w:val="28"/>
        </w:rPr>
        <w:t>00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5B2DDE34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94CF3">
        <w:rPr>
          <w:sz w:val="28"/>
          <w:szCs w:val="28"/>
        </w:rPr>
        <w:t>Сечкин Геннадий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75D1053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94CF3">
        <w:rPr>
          <w:sz w:val="28"/>
          <w:szCs w:val="28"/>
        </w:rPr>
        <w:t>Сечкина Г.А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94CF3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2024-10-07T05:57:00Z</dcterms:modified>
</cp:coreProperties>
</file>