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F23D32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EF7E9B">
        <w:rPr>
          <w:sz w:val="28"/>
          <w:szCs w:val="28"/>
        </w:rPr>
        <w:t>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EF7E9B">
        <w:rPr>
          <w:sz w:val="28"/>
          <w:szCs w:val="28"/>
        </w:rPr>
        <w:t>265, площадью 813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EF7E9B">
        <w:rPr>
          <w:sz w:val="28"/>
          <w:szCs w:val="28"/>
        </w:rPr>
        <w:t>номером 38:31:000006:304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EE5029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F7E9B">
        <w:rPr>
          <w:sz w:val="28"/>
          <w:szCs w:val="28"/>
        </w:rPr>
        <w:t>Сидоренко Марина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EF7E9B">
        <w:rPr>
          <w:sz w:val="28"/>
          <w:szCs w:val="28"/>
        </w:rPr>
        <w:t>Сидоренко М.И.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EF7E9B"/>
    <w:rsid w:val="00F04BA5"/>
    <w:rsid w:val="00F23D32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E5C8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2023-10-06T05:28:00Z</dcterms:modified>
</cp:coreProperties>
</file>