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BC1842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E5029">
        <w:rPr>
          <w:sz w:val="28"/>
          <w:szCs w:val="28"/>
        </w:rPr>
        <w:t>Елочка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E5029">
        <w:rPr>
          <w:sz w:val="28"/>
          <w:szCs w:val="28"/>
        </w:rPr>
        <w:t>147, площадью 824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E5029">
        <w:rPr>
          <w:sz w:val="28"/>
          <w:szCs w:val="28"/>
        </w:rPr>
        <w:t>номером 38:31:000005:197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E5029">
        <w:rPr>
          <w:sz w:val="28"/>
          <w:szCs w:val="28"/>
        </w:rPr>
        <w:t>Федорова Анастасия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E5029">
        <w:rPr>
          <w:sz w:val="28"/>
          <w:szCs w:val="28"/>
        </w:rPr>
        <w:t>Федоровой А.А.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C1842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CD11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2023-10-02T00:05:00Z</dcterms:modified>
</cp:coreProperties>
</file>