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D796706" w14:textId="77777777" w:rsidR="00DC3A1D" w:rsidRDefault="00DC3A1D" w:rsidP="00DC3A1D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>
        <w:rPr>
          <w:sz w:val="28"/>
          <w:szCs w:val="28"/>
        </w:rPr>
        <w:t>Стопани</w:t>
      </w:r>
      <w:proofErr w:type="spellEnd"/>
      <w:r>
        <w:rPr>
          <w:sz w:val="28"/>
          <w:szCs w:val="28"/>
        </w:rPr>
        <w:t xml:space="preserve">, д. 87, кв. 32, площадью 45,20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38:31:000028:4867, владеющим данным жилым помещением на праве собственности выявлена:</w:t>
      </w:r>
    </w:p>
    <w:p w14:paraId="04C52402" w14:textId="5BE5A572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C3A1D">
        <w:rPr>
          <w:sz w:val="28"/>
          <w:szCs w:val="28"/>
        </w:rPr>
        <w:t>Калашникова Любовь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549A343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C3A1D">
        <w:rPr>
          <w:sz w:val="28"/>
          <w:szCs w:val="28"/>
        </w:rPr>
        <w:t xml:space="preserve">Калашниковой Л.В.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DC3A1D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2023-09-22T05:57:00Z</dcterms:created>
  <dcterms:modified xsi:type="dcterms:W3CDTF">2023-09-22T05:57:00Z</dcterms:modified>
</cp:coreProperties>
</file>