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05" w:rsidRDefault="00684A0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4A05" w:rsidRDefault="00684A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84A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A05" w:rsidRDefault="00684A05">
            <w:pPr>
              <w:pStyle w:val="ConsPlusNormal"/>
            </w:pPr>
            <w:r>
              <w:t>7 октября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A05" w:rsidRDefault="00684A05">
            <w:pPr>
              <w:pStyle w:val="ConsPlusNormal"/>
              <w:jc w:val="right"/>
            </w:pPr>
            <w:r>
              <w:t>N 379-ФЗ</w:t>
            </w:r>
          </w:p>
        </w:tc>
      </w:tr>
    </w:tbl>
    <w:p w:rsidR="00684A05" w:rsidRDefault="00684A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A05" w:rsidRDefault="00684A05">
      <w:pPr>
        <w:pStyle w:val="ConsPlusNormal"/>
        <w:jc w:val="both"/>
      </w:pPr>
    </w:p>
    <w:p w:rsidR="00684A05" w:rsidRDefault="00684A05">
      <w:pPr>
        <w:pStyle w:val="ConsPlusTitle"/>
        <w:jc w:val="center"/>
      </w:pPr>
      <w:r>
        <w:t>РОССИЙСКАЯ ФЕДЕРАЦИЯ</w:t>
      </w:r>
    </w:p>
    <w:p w:rsidR="00684A05" w:rsidRDefault="00684A05">
      <w:pPr>
        <w:pStyle w:val="ConsPlusTitle"/>
        <w:jc w:val="center"/>
      </w:pPr>
    </w:p>
    <w:p w:rsidR="00684A05" w:rsidRDefault="00684A05">
      <w:pPr>
        <w:pStyle w:val="ConsPlusTitle"/>
        <w:jc w:val="center"/>
      </w:pPr>
      <w:r>
        <w:t>ФЕДЕРАЛЬНЫЙ ЗАКОН</w:t>
      </w:r>
    </w:p>
    <w:p w:rsidR="00684A05" w:rsidRDefault="00684A05">
      <w:pPr>
        <w:pStyle w:val="ConsPlusTitle"/>
        <w:jc w:val="center"/>
      </w:pPr>
    </w:p>
    <w:p w:rsidR="00684A05" w:rsidRDefault="00684A05">
      <w:pPr>
        <w:pStyle w:val="ConsPlusTitle"/>
        <w:jc w:val="center"/>
      </w:pPr>
      <w:r>
        <w:t>О ВНЕСЕНИИ ИЗМЕНЕНИЙ</w:t>
      </w:r>
    </w:p>
    <w:p w:rsidR="00684A05" w:rsidRDefault="00684A05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Normal"/>
        <w:jc w:val="right"/>
      </w:pPr>
      <w:r>
        <w:t>Принят</w:t>
      </w:r>
    </w:p>
    <w:p w:rsidR="00684A05" w:rsidRDefault="00684A05">
      <w:pPr>
        <w:pStyle w:val="ConsPlusNormal"/>
        <w:jc w:val="right"/>
      </w:pPr>
      <w:r>
        <w:t>Государственной Думой</w:t>
      </w:r>
    </w:p>
    <w:p w:rsidR="00684A05" w:rsidRDefault="00684A05">
      <w:pPr>
        <w:pStyle w:val="ConsPlusNormal"/>
        <w:jc w:val="right"/>
      </w:pPr>
      <w:r>
        <w:t>27 сентября 2022 года</w:t>
      </w:r>
    </w:p>
    <w:p w:rsidR="00684A05" w:rsidRDefault="00684A05">
      <w:pPr>
        <w:pStyle w:val="ConsPlusNormal"/>
        <w:jc w:val="right"/>
      </w:pPr>
    </w:p>
    <w:p w:rsidR="00684A05" w:rsidRDefault="00684A05">
      <w:pPr>
        <w:pStyle w:val="ConsPlusNormal"/>
        <w:jc w:val="right"/>
      </w:pPr>
      <w:r>
        <w:t>Одобрен</w:t>
      </w:r>
    </w:p>
    <w:p w:rsidR="00684A05" w:rsidRDefault="00684A05">
      <w:pPr>
        <w:pStyle w:val="ConsPlusNormal"/>
        <w:jc w:val="right"/>
      </w:pPr>
      <w:r>
        <w:t>Советом Федерации</w:t>
      </w:r>
    </w:p>
    <w:p w:rsidR="00684A05" w:rsidRDefault="00684A05">
      <w:pPr>
        <w:pStyle w:val="ConsPlusNormal"/>
        <w:jc w:val="right"/>
      </w:pPr>
      <w:r>
        <w:t>4 октября 2022 года</w:t>
      </w:r>
    </w:p>
    <w:p w:rsidR="00684A05" w:rsidRDefault="00684A05">
      <w:pPr>
        <w:pStyle w:val="ConsPlusNormal"/>
        <w:jc w:val="right"/>
      </w:pPr>
    </w:p>
    <w:p w:rsidR="00684A05" w:rsidRDefault="00684A05">
      <w:pPr>
        <w:pStyle w:val="ConsPlusTitle"/>
        <w:ind w:firstLine="540"/>
        <w:jc w:val="both"/>
        <w:outlineLvl w:val="0"/>
      </w:pPr>
      <w:r>
        <w:t>Статья 1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Normal"/>
        <w:ind w:firstLine="540"/>
        <w:jc w:val="both"/>
      </w:pPr>
      <w:r>
        <w:t xml:space="preserve">Внести в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2007, N 30, ст. 3754; 2008, N 18, ст. 1942; N 30, ст. 3616; 2009, N 30, ст. 3739; N 52, ст. 6454; 2010, N 31, ст. 4196; N 49, ст. 6409; N 50, ст. 6597; 2011, N 29, ст. 4291; N 45, ст. 6335; N 49, ст. 7037, 7057; 2012, N 50, ст. 6966; 2013, N 49, ст. 6352; N 52, ст. 6986; 2014, N 30, ст. 4217; N 45, ст. 6155; N 49, ст. 6915; 2016, N 1, ст. 5; N 18, ст. 2512; N 27, ст. 4183; 2018, N 31, ст. 4858; 2019, N 14, ст. 1461; N 51, ст. 7488; 2020, N 17, ст. 2714; 2021, N 22, ст. 3688; N 52, ст. 8974; 2022, N 1, ст. 43; N 9, ст. 1250; N 24, ст. 3942; N 27, ст. 4613; N 29, ст. 5204) следующие изменения: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подпункте 2 пункта 2.1 статьи 6</w:t>
        </w:r>
      </w:hyperlink>
      <w:r>
        <w:t>: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>"сведения о приостановлении и возобновлении действия трудового договора;";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б) </w:t>
      </w:r>
      <w:hyperlink r:id="rId8">
        <w:r>
          <w:rPr>
            <w:color w:val="0000FF"/>
          </w:rPr>
          <w:t>абзацы пятый</w:t>
        </w:r>
      </w:hyperlink>
      <w:r>
        <w:t xml:space="preserve"> и </w:t>
      </w:r>
      <w:hyperlink r:id="rId9">
        <w:r>
          <w:rPr>
            <w:color w:val="0000FF"/>
          </w:rPr>
          <w:t>шестой</w:t>
        </w:r>
      </w:hyperlink>
      <w:r>
        <w:t xml:space="preserve"> считать соответственно абзацами шестым и седьмым;</w:t>
      </w:r>
    </w:p>
    <w:p w:rsidR="00684A05" w:rsidRDefault="00684A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4A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05" w:rsidRDefault="00684A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05" w:rsidRDefault="00684A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4A05" w:rsidRDefault="00684A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4A05" w:rsidRDefault="00684A05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01.01.2023 </w:t>
            </w:r>
            <w:hyperlink r:id="rId10">
              <w:r>
                <w:rPr>
                  <w:color w:val="0000FF"/>
                </w:rPr>
                <w:t>ст. 11</w:t>
              </w:r>
            </w:hyperlink>
            <w:r>
              <w:rPr>
                <w:color w:val="392C69"/>
              </w:rPr>
              <w:t xml:space="preserve"> ФЗ от 01.04.1996 N 27-ФЗ </w:t>
            </w:r>
            <w:hyperlink r:id="rId11">
              <w:r>
                <w:rPr>
                  <w:color w:val="0000FF"/>
                </w:rPr>
                <w:t>излагается</w:t>
              </w:r>
            </w:hyperlink>
            <w:r>
              <w:rPr>
                <w:color w:val="392C69"/>
              </w:rPr>
              <w:t xml:space="preserve"> в новой редакции, в которой указанные пункты отсутствуют.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05" w:rsidRDefault="00684A05">
            <w:pPr>
              <w:pStyle w:val="ConsPlusNormal"/>
            </w:pPr>
          </w:p>
        </w:tc>
      </w:tr>
    </w:tbl>
    <w:p w:rsidR="00684A05" w:rsidRDefault="00684A05">
      <w:pPr>
        <w:pStyle w:val="ConsPlusNormal"/>
        <w:spacing w:before="260"/>
        <w:ind w:firstLine="540"/>
        <w:jc w:val="both"/>
      </w:pPr>
      <w:r>
        <w:t xml:space="preserve">2) в </w:t>
      </w:r>
      <w:hyperlink r:id="rId12">
        <w:r>
          <w:rPr>
            <w:color w:val="0000FF"/>
          </w:rPr>
          <w:t>статье 11</w:t>
        </w:r>
      </w:hyperlink>
      <w:r>
        <w:t>: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а) </w:t>
      </w:r>
      <w:hyperlink r:id="rId13">
        <w:r>
          <w:rPr>
            <w:color w:val="0000FF"/>
          </w:rPr>
          <w:t>абзац первый пункта 2.4</w:t>
        </w:r>
      </w:hyperlink>
      <w:r>
        <w:t xml:space="preserve"> после слов "постоянную работу" дополнить словами ", приостановления и возобновления действия трудового договора";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б) </w:t>
      </w:r>
      <w:hyperlink r:id="rId14">
        <w:r>
          <w:rPr>
            <w:color w:val="0000FF"/>
          </w:rPr>
          <w:t>абзац третий подпункта 2 пункта 2.5</w:t>
        </w:r>
      </w:hyperlink>
      <w:r>
        <w:t xml:space="preserve"> изложить в следующей редакции: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>"в случаях приема на работу, приостановления и возобновления действия трудового договора, увольнения зарегистрированного лица - не позднее рабочего дня, следующего за днем издания приказа (распоряжения), иного документа, принятия решения, которые подтверждают оформление, приостановление, возобновление или прекращение трудовых отношений.".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Title"/>
        <w:ind w:firstLine="540"/>
        <w:jc w:val="both"/>
        <w:outlineLvl w:val="0"/>
      </w:pPr>
      <w:r>
        <w:t>Статья 2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Normal"/>
        <w:ind w:firstLine="540"/>
        <w:jc w:val="both"/>
      </w:pPr>
      <w:r>
        <w:t xml:space="preserve">Внести в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2009, N 48, ст. 5719; 2011, N 27, ст. 3866; N 48, ст. 6730; 2012, N 50, ст. 6954; 2013, N 14, ст. 1665; N 23, ст. 2874; N 27, ст. 3477) следующие изменения: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lastRenderedPageBreak/>
        <w:t xml:space="preserve">1) </w:t>
      </w:r>
      <w:hyperlink r:id="rId16">
        <w:r>
          <w:rPr>
            <w:color w:val="0000FF"/>
          </w:rPr>
          <w:t>часть 1 статьи 37</w:t>
        </w:r>
      </w:hyperlink>
      <w:r>
        <w:t xml:space="preserve"> дополнить пунктом 8.4 следующего содержания: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"8.4)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контракту, заключенному в соответствии с </w:t>
      </w:r>
      <w:hyperlink r:id="rId17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либо после окончания действия заключенного гражданским служащим контракта о добровольном содействии в выполнении задач, возложенных на Вооруженные Силы Российской Федерации;";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2) в </w:t>
      </w:r>
      <w:hyperlink r:id="rId18">
        <w:r>
          <w:rPr>
            <w:color w:val="0000FF"/>
          </w:rPr>
          <w:t>пункте 1 части 1 статьи 39</w:t>
        </w:r>
      </w:hyperlink>
      <w:r>
        <w:t xml:space="preserve"> слова "призывом гражданского служащего на военную службу" заменить словами "призывом гражданского служащего на военную службу, за исключением призыва на военную службу по мобилизации,";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3) </w:t>
      </w:r>
      <w:hyperlink r:id="rId19">
        <w:r>
          <w:rPr>
            <w:color w:val="0000FF"/>
          </w:rPr>
          <w:t>статью 53</w:t>
        </w:r>
      </w:hyperlink>
      <w:r>
        <w:t xml:space="preserve"> дополнить пунктом 4.1 следующего содержания: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>"4.1) гарантии, предусмотренные статьей 53.1 настоящего Федерального закона,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Федерации;";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4) </w:t>
      </w:r>
      <w:hyperlink r:id="rId20">
        <w:r>
          <w:rPr>
            <w:color w:val="0000FF"/>
          </w:rPr>
          <w:t>дополнить</w:t>
        </w:r>
      </w:hyperlink>
      <w:r>
        <w:t xml:space="preserve"> статьей 53.1 следующего содержания: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Normal"/>
        <w:ind w:firstLine="540"/>
        <w:jc w:val="both"/>
      </w:pPr>
      <w:r>
        <w:t>"Статья 53.1.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Normal"/>
        <w:ind w:firstLine="540"/>
        <w:jc w:val="both"/>
      </w:pPr>
      <w:r>
        <w:t xml:space="preserve">1. Гражданским служащим, призванным на военную службу по мобилизации или заключившим в соответствии с </w:t>
      </w:r>
      <w:hyperlink r:id="rId21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 контракт о прохождении военной службы (далее в настоящей статье - военная служба) либо контракт о добровольном содействии в выполнении задач, возложенных на Вооруженные Силы Российской Федерации,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 При этом прохождение гражданской службы приостанавливается, денежное содержание не начисляется и не выплачивается.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>2. В период прохождения военной службы либо оказания добровольного содействия в выполнении задач, возложенных на Вооруженные Силы Российской Федерации, расторжение служебного контракта по инициативе представителя нанимателя не допускается, за исключением расторжения служебного контракта в связи с упразднением государственного органа.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>3. Гражданскому служащему, завершившему прохождение военной службы либо оказание добровольного содействия в выполнении задач, возложенных на Вооруженные Силы Российской Федерации, в течение шести месяцев после возобновления прохождения гражданской службы по его заявлению предоставляется ежегодный оплачиваемый отпуск в любое удобное для него время.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>4. Период прохождения военной службы либо оказания добровольного содействия в выполнении задач, возложенных на Вооруженные Силы Российской Федерации, включается в стаж гражданской службы.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>5. К правоотношениям, не урегулированным настоящей статьей, применяются положения трудового законодательства.".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Title"/>
        <w:ind w:firstLine="540"/>
        <w:jc w:val="both"/>
        <w:outlineLvl w:val="0"/>
      </w:pPr>
      <w:r>
        <w:t>Статья 3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Normal"/>
        <w:ind w:firstLine="540"/>
        <w:jc w:val="both"/>
      </w:pPr>
      <w:hyperlink r:id="rId22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2011, N 9, ст. 1208; 2012, N 53, ст. 7601; 2016, N 27, ст. 4183; 2020, N 24, ст. 3749; 2021, N 1, ст. 17; N 18, ст. 3070; 2022, N 29, ст. 5204) дополнить словами "за вычетом календарных дней, приходящихся на период приостановления действия трудового договора в соответствии со статьей 351.7 Трудового кодекса Российской Федерации или приостановления прохождения государственной гражданской службы в соответствии со статьей 53.1 Федерального закона от 27 </w:t>
      </w:r>
      <w:r>
        <w:lastRenderedPageBreak/>
        <w:t>июля 2004 года N 79-ФЗ "О государственной гражданской службе Российской Федерации".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Title"/>
        <w:ind w:firstLine="540"/>
        <w:jc w:val="both"/>
        <w:outlineLvl w:val="0"/>
      </w:pPr>
      <w:r>
        <w:t>Статья 4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Normal"/>
        <w:ind w:firstLine="540"/>
        <w:jc w:val="both"/>
      </w:pPr>
      <w:hyperlink r:id="rId23">
        <w:r>
          <w:rPr>
            <w:color w:val="0000FF"/>
          </w:rPr>
          <w:t>Часть 7 статьи 5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2019, N 6, ст. 463) изложить в следующей редакции: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"7.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Федерации".".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Title"/>
        <w:ind w:firstLine="540"/>
        <w:jc w:val="both"/>
        <w:outlineLvl w:val="0"/>
      </w:pPr>
      <w:r>
        <w:t>Статья 5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Normal"/>
        <w:ind w:firstLine="540"/>
        <w:jc w:val="both"/>
      </w:pPr>
      <w:r>
        <w:t xml:space="preserve">Внести в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28 декабря 2013 года N 400-ФЗ "О страховых пенсиях" (Собрание законодательства Российской Федерации, 2013, N 52, ст. 6965; 2015, N 27, ст. 3964; 2016, N 22, ст. 3091; N 27, ст. 4183; N 52, ст. 7486; 2018, N 41, ст. 6190; N 53, ст. 8462; 2019, N 10, ст. 895; N 40, ст. 5488; 2022, N 11, ст. 1596; N 29, ст. 5204) следующие изменения: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1) </w:t>
      </w:r>
      <w:hyperlink r:id="rId26">
        <w:r>
          <w:rPr>
            <w:color w:val="0000FF"/>
          </w:rPr>
          <w:t>часть 1 статьи 12</w:t>
        </w:r>
      </w:hyperlink>
      <w:r>
        <w:t xml:space="preserve"> дополнить пунктом 12 следующего содержания: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>"12) период оказания добровольного содействия в выполнении задач, возложенных на Вооруженные Силы Российской Федерации, на основании контракта.";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2) в </w:t>
      </w:r>
      <w:hyperlink r:id="rId27">
        <w:r>
          <w:rPr>
            <w:color w:val="0000FF"/>
          </w:rPr>
          <w:t>абзаце первом части 12 статьи 15</w:t>
        </w:r>
      </w:hyperlink>
      <w:r>
        <w:t xml:space="preserve"> слова "6 - 8 и 10" заменить словами "6 - 8, 10 и 12".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Title"/>
        <w:ind w:firstLine="540"/>
        <w:jc w:val="both"/>
        <w:outlineLvl w:val="0"/>
      </w:pPr>
      <w:r>
        <w:t>Статья 6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2. Действие положений </w:t>
      </w:r>
      <w:hyperlink r:id="rId28">
        <w:r>
          <w:rPr>
            <w:color w:val="0000FF"/>
          </w:rPr>
          <w:t>пункта 12 части 1 статьи 12</w:t>
        </w:r>
      </w:hyperlink>
      <w:r>
        <w:t xml:space="preserve"> и </w:t>
      </w:r>
      <w:hyperlink r:id="rId29">
        <w:r>
          <w:rPr>
            <w:color w:val="0000FF"/>
          </w:rPr>
          <w:t>абзаца первого части 12 статьи 15</w:t>
        </w:r>
      </w:hyperlink>
      <w:r>
        <w:t xml:space="preserve"> Федерального закона от 28 декабря 2013 года N 400-ФЗ "О страховых пенсиях" (в редакции настоящего Федерального закона) распространяется на правоотношения, возникшие с 24 февраля 2022 года.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3. Действие положений </w:t>
      </w:r>
      <w:hyperlink r:id="rId30">
        <w:r>
          <w:rPr>
            <w:color w:val="0000FF"/>
          </w:rPr>
          <w:t>пункта 8.4 части 1 статьи 37</w:t>
        </w:r>
      </w:hyperlink>
      <w:r>
        <w:t xml:space="preserve">, </w:t>
      </w:r>
      <w:hyperlink r:id="rId31">
        <w:r>
          <w:rPr>
            <w:color w:val="0000FF"/>
          </w:rPr>
          <w:t>пункта 1 части 1 статьи 39</w:t>
        </w:r>
      </w:hyperlink>
      <w:r>
        <w:t xml:space="preserve">, </w:t>
      </w:r>
      <w:hyperlink r:id="rId32">
        <w:r>
          <w:rPr>
            <w:color w:val="0000FF"/>
          </w:rPr>
          <w:t>пункта 4.1 статьи 53</w:t>
        </w:r>
      </w:hyperlink>
      <w:r>
        <w:t xml:space="preserve">, </w:t>
      </w:r>
      <w:hyperlink r:id="rId33">
        <w:r>
          <w:rPr>
            <w:color w:val="0000FF"/>
          </w:rPr>
          <w:t>статьи 53.1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(в редакции настоящего Федерального закона) и </w:t>
      </w:r>
      <w:hyperlink r:id="rId34">
        <w:r>
          <w:rPr>
            <w:color w:val="0000FF"/>
          </w:rPr>
          <w:t>части 3 статьи 14</w:t>
        </w:r>
      </w:hyperlink>
      <w:r>
        <w:t xml:space="preserve">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(в редакции настоящего Федерального закона) распространяется на правоотношения, возникшие с 21 сентября 2022 года.</w:t>
      </w:r>
    </w:p>
    <w:p w:rsidR="00684A05" w:rsidRDefault="00684A05">
      <w:pPr>
        <w:pStyle w:val="ConsPlusNormal"/>
        <w:spacing w:before="200"/>
        <w:ind w:firstLine="540"/>
        <w:jc w:val="both"/>
      </w:pPr>
      <w:r>
        <w:t xml:space="preserve">4. Граждане, которые с 24 февраля по 21 сентября 2022 года заключили в соответствии с </w:t>
      </w:r>
      <w:hyperlink r:id="rId35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и с которыми в указанный период были расторгнуты трудовые договоры (служебные контракты), в течение трех месяцев после завершения прохождения военной службы по мобилизации или военной службы по контракту либо контракта о добровольном содействии в выполнении задач, возложенных на Вооруженные Силы Российской Федерации, имеют преимущественное право трудоустройства на работу (службу) по ранее занимаемой должности у работодателя (представителя нанимателя), с которым они состояли в трудовых (служебных) отношениях до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Федерации. В случае невозможности предоставления такой должности работодатель (представитель нанимателя) предлагает другую имеющуюся у него работу (службу), не противопоказанную указанным гражданам по состоянию здоровья.</w:t>
      </w:r>
    </w:p>
    <w:p w:rsidR="00684A05" w:rsidRDefault="00684A05">
      <w:pPr>
        <w:pStyle w:val="ConsPlusNormal"/>
        <w:ind w:firstLine="540"/>
        <w:jc w:val="both"/>
      </w:pPr>
    </w:p>
    <w:p w:rsidR="00684A05" w:rsidRDefault="00684A05">
      <w:pPr>
        <w:pStyle w:val="ConsPlusNormal"/>
        <w:jc w:val="right"/>
      </w:pPr>
      <w:r>
        <w:t>Президент</w:t>
      </w:r>
    </w:p>
    <w:p w:rsidR="00684A05" w:rsidRDefault="00684A05">
      <w:pPr>
        <w:pStyle w:val="ConsPlusNormal"/>
        <w:jc w:val="right"/>
      </w:pPr>
      <w:r>
        <w:t>Российской Федерации</w:t>
      </w:r>
    </w:p>
    <w:p w:rsidR="00684A05" w:rsidRDefault="00684A05">
      <w:pPr>
        <w:pStyle w:val="ConsPlusNormal"/>
        <w:jc w:val="right"/>
      </w:pPr>
      <w:r>
        <w:t>В.ПУТИН</w:t>
      </w:r>
    </w:p>
    <w:p w:rsidR="00684A05" w:rsidRDefault="00684A05">
      <w:pPr>
        <w:pStyle w:val="ConsPlusNormal"/>
      </w:pPr>
      <w:r>
        <w:t>Москва, Кремль</w:t>
      </w:r>
    </w:p>
    <w:p w:rsidR="00684A05" w:rsidRDefault="00684A05">
      <w:pPr>
        <w:pStyle w:val="ConsPlusNormal"/>
        <w:spacing w:before="200"/>
      </w:pPr>
      <w:r>
        <w:lastRenderedPageBreak/>
        <w:t>7 октября 2022 года</w:t>
      </w:r>
    </w:p>
    <w:p w:rsidR="00684A05" w:rsidRDefault="00684A05">
      <w:pPr>
        <w:pStyle w:val="ConsPlusNormal"/>
        <w:spacing w:before="200"/>
      </w:pPr>
      <w:r>
        <w:t>N 379-ФЗ</w:t>
      </w:r>
    </w:p>
    <w:p w:rsidR="00684A05" w:rsidRDefault="00684A05">
      <w:pPr>
        <w:pStyle w:val="ConsPlusNormal"/>
      </w:pPr>
    </w:p>
    <w:p w:rsidR="00684A05" w:rsidRDefault="00684A05">
      <w:pPr>
        <w:pStyle w:val="ConsPlusNormal"/>
      </w:pPr>
    </w:p>
    <w:p w:rsidR="00684A05" w:rsidRDefault="00684A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0" w:name="_GoBack"/>
      <w:bookmarkEnd w:id="0"/>
    </w:p>
    <w:sectPr w:rsidR="00DB4EC7" w:rsidSect="0011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05"/>
    <w:rsid w:val="00684A05"/>
    <w:rsid w:val="00B50D12"/>
    <w:rsid w:val="00D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9258-A6CC-4E96-9078-E851AC60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4A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84A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75723C449BC33BEEA61DD60E07CE6C49BDCC6BAC6FC9FEE2E3F9E01BEB087A5D592D75F28B71EBDDA7563C167238ABD1DA803B1Cz7C4G" TargetMode="External"/><Relationship Id="rId18" Type="http://schemas.openxmlformats.org/officeDocument/2006/relationships/hyperlink" Target="consultantplus://offline/ref=0C75723C449BC33BEEA61DD60E07CE6C49BCC468A06CC9FEE2E3F9E01BEB087A5D592D76F48271EBDDA7563C167238ABD1DA803B1Cz7C4G" TargetMode="External"/><Relationship Id="rId26" Type="http://schemas.openxmlformats.org/officeDocument/2006/relationships/hyperlink" Target="consultantplus://offline/ref=0C75723C449BC33BEEA61DD60E07CE6C49BCC469AD6AC9FEE2E3F9E01BEB087A5D592D76F48B7AB88AE8576053202BABD6DA833B0074C187z2C5G" TargetMode="External"/><Relationship Id="rId21" Type="http://schemas.openxmlformats.org/officeDocument/2006/relationships/hyperlink" Target="consultantplus://offline/ref=0C75723C449BC33BEEA61DD60E07CE6C49BFC66FA76FC9FEE2E3F9E01BEB087A5D592D71F58D71EBDDA7563C167238ABD1DA803B1Cz7C4G" TargetMode="External"/><Relationship Id="rId34" Type="http://schemas.openxmlformats.org/officeDocument/2006/relationships/hyperlink" Target="consultantplus://offline/ref=0C75723C449BC33BEEA61DD60E07CE6C49BFCC68AC69C9FEE2E3F9E01BEB087A5D592D72F08F71EBDDA7563C167238ABD1DA803B1Cz7C4G" TargetMode="External"/><Relationship Id="rId7" Type="http://schemas.openxmlformats.org/officeDocument/2006/relationships/hyperlink" Target="consultantplus://offline/ref=0C75723C449BC33BEEA61DD60E07CE6C49BDCC6BAC6FC9FEE2E3F9E01BEB087A5D592D75F18B71EBDDA7563C167238ABD1DA803B1Cz7C4G" TargetMode="External"/><Relationship Id="rId12" Type="http://schemas.openxmlformats.org/officeDocument/2006/relationships/hyperlink" Target="consultantplus://offline/ref=0C75723C449BC33BEEA61DD60E07CE6C49BDCC6BAC6FC9FEE2E3F9E01BEB087A5D592D76FC8C71EBDDA7563C167238ABD1DA803B1Cz7C4G" TargetMode="External"/><Relationship Id="rId17" Type="http://schemas.openxmlformats.org/officeDocument/2006/relationships/hyperlink" Target="consultantplus://offline/ref=0C75723C449BC33BEEA61DD60E07CE6C49BFC66FA76FC9FEE2E3F9E01BEB087A5D592D71F58D71EBDDA7563C167238ABD1DA803B1Cz7C4G" TargetMode="External"/><Relationship Id="rId25" Type="http://schemas.openxmlformats.org/officeDocument/2006/relationships/hyperlink" Target="consultantplus://offline/ref=0C75723C449BC33BEEA61DD60E07CE6C49BCC469AD6AC9FEE2E3F9E01BEB087A4F59757AF58C64BE8CFD013115z7C7G" TargetMode="External"/><Relationship Id="rId33" Type="http://schemas.openxmlformats.org/officeDocument/2006/relationships/hyperlink" Target="consultantplus://offline/ref=0C75723C449BC33BEEA61DD60E07CE6C49BFCC68AD6DC9FEE2E3F9E01BEB087A5D592D76F48B73BB8EE8576053202BABD6DA833B0074C187z2C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75723C449BC33BEEA61DD60E07CE6C49BCC468A06CC9FEE2E3F9E01BEB087A5D592D76F48B79B78BE8576053202BABD6DA833B0074C187z2C5G" TargetMode="External"/><Relationship Id="rId20" Type="http://schemas.openxmlformats.org/officeDocument/2006/relationships/hyperlink" Target="consultantplus://offline/ref=0C75723C449BC33BEEA61DD60E07CE6C49BCC468A06CC9FEE2E3F9E01BEB087A4F59757AF58C64BE8CFD013115z7C7G" TargetMode="External"/><Relationship Id="rId29" Type="http://schemas.openxmlformats.org/officeDocument/2006/relationships/hyperlink" Target="consultantplus://offline/ref=0C75723C449BC33BEEA61DD60E07CE6C49BFCC68AC6EC9FEE2E3F9E01BEB087A5D592D74F08F71EBDDA7563C167238ABD1DA803B1Cz7C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5723C449BC33BEEA61DD60E07CE6C49BDCC6BAC6FC9FEE2E3F9E01BEB087A5D592D75F18B71EBDDA7563C167238ABD1DA803B1Cz7C4G" TargetMode="External"/><Relationship Id="rId11" Type="http://schemas.openxmlformats.org/officeDocument/2006/relationships/hyperlink" Target="consultantplus://offline/ref=0C75723C449BC33BEEA61DD60E07CE6C49BFC563A16AC9FEE2E3F9E01BEB087A5D592D76F48B7BBB84E8576053202BABD6DA833B0074C187z2C5G" TargetMode="External"/><Relationship Id="rId24" Type="http://schemas.openxmlformats.org/officeDocument/2006/relationships/hyperlink" Target="consultantplus://offline/ref=0C75723C449BC33BEEA61DD60E07CE6C4EB5C76FA36EC9FEE2E3F9E01BEB087A4F59757AF58C64BE8CFD013115z7C7G" TargetMode="External"/><Relationship Id="rId32" Type="http://schemas.openxmlformats.org/officeDocument/2006/relationships/hyperlink" Target="consultantplus://offline/ref=0C75723C449BC33BEEA61DD60E07CE6C49BFCC68AD6DC9FEE2E3F9E01BEB087A5D592D76F48B73BB8DE8576053202BABD6DA833B0074C187z2C5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C75723C449BC33BEEA61DD60E07CE6C49BDCC6BAC6FC9FEE2E3F9E01BEB087A4F59757AF58C64BE8CFD013115z7C7G" TargetMode="External"/><Relationship Id="rId15" Type="http://schemas.openxmlformats.org/officeDocument/2006/relationships/hyperlink" Target="consultantplus://offline/ref=0C75723C449BC33BEEA61DD60E07CE6C49BCC468A06CC9FEE2E3F9E01BEB087A4F59757AF58C64BE8CFD013115z7C7G" TargetMode="External"/><Relationship Id="rId23" Type="http://schemas.openxmlformats.org/officeDocument/2006/relationships/hyperlink" Target="consultantplus://offline/ref=0C75723C449BC33BEEA61DD60E07CE6C49BCC76EA069C9FEE2E3F9E01BEB087A5D592D76F48B7ABB8AE8576053202BABD6DA833B0074C187z2C5G" TargetMode="External"/><Relationship Id="rId28" Type="http://schemas.openxmlformats.org/officeDocument/2006/relationships/hyperlink" Target="consultantplus://offline/ref=0C75723C449BC33BEEA61DD60E07CE6C49BFCC68AC6EC9FEE2E3F9E01BEB087A5D592D74F08871EBDDA7563C167238ABD1DA803B1Cz7C4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C75723C449BC33BEEA61DD60E07CE6C49BFC66AA56DC9FEE2E3F9E01BEB087A5D592D73F68971EBDDA7563C167238ABD1DA803B1Cz7C4G" TargetMode="External"/><Relationship Id="rId19" Type="http://schemas.openxmlformats.org/officeDocument/2006/relationships/hyperlink" Target="consultantplus://offline/ref=0C75723C449BC33BEEA61DD60E07CE6C49BCC468A06CC9FEE2E3F9E01BEB087A5D592D76F48B7CBE8DE8576053202BABD6DA833B0074C187z2C5G" TargetMode="External"/><Relationship Id="rId31" Type="http://schemas.openxmlformats.org/officeDocument/2006/relationships/hyperlink" Target="consultantplus://offline/ref=0C75723C449BC33BEEA61DD60E07CE6C49BFCC68AD6DC9FEE2E3F9E01BEB087A5D592D76F48B73BB8CE8576053202BABD6DA833B0074C187z2C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75723C449BC33BEEA61DD60E07CE6C49BDCC6BAC6FC9FEE2E3F9E01BEB087A5D592D75F18E71EBDDA7563C167238ABD1DA803B1Cz7C4G" TargetMode="External"/><Relationship Id="rId14" Type="http://schemas.openxmlformats.org/officeDocument/2006/relationships/hyperlink" Target="consultantplus://offline/ref=0C75723C449BC33BEEA61DD60E07CE6C49BDCC6BAC6FC9FEE2E3F9E01BEB087A5D592D75F28271EBDDA7563C167238ABD1DA803B1Cz7C4G" TargetMode="External"/><Relationship Id="rId22" Type="http://schemas.openxmlformats.org/officeDocument/2006/relationships/hyperlink" Target="consultantplus://offline/ref=0C75723C449BC33BEEA61DD60E07CE6C49BCC468A469C9FEE2E3F9E01BEB087A5D592D75F08271EBDDA7563C167238ABD1DA803B1Cz7C4G" TargetMode="External"/><Relationship Id="rId27" Type="http://schemas.openxmlformats.org/officeDocument/2006/relationships/hyperlink" Target="consultantplus://offline/ref=0C75723C449BC33BEEA61DD60E07CE6C49BCC469AD6AC9FEE2E3F9E01BEB087A5D592D7FF1802EEEC8B60E30106B27AACFC68239z1CCG" TargetMode="External"/><Relationship Id="rId30" Type="http://schemas.openxmlformats.org/officeDocument/2006/relationships/hyperlink" Target="consultantplus://offline/ref=0C75723C449BC33BEEA61DD60E07CE6C49BFCC68AD6DC9FEE2E3F9E01BEB087A5D592D76F48B73BC85E8576053202BABD6DA833B0074C187z2C5G" TargetMode="External"/><Relationship Id="rId35" Type="http://schemas.openxmlformats.org/officeDocument/2006/relationships/hyperlink" Target="consultantplus://offline/ref=0C75723C449BC33BEEA61DD60E07CE6C49BFC66FA76FC9FEE2E3F9E01BEB087A5D592D71F58D71EBDDA7563C167238ABD1DA803B1Cz7C4G" TargetMode="External"/><Relationship Id="rId8" Type="http://schemas.openxmlformats.org/officeDocument/2006/relationships/hyperlink" Target="consultantplus://offline/ref=0C75723C449BC33BEEA61DD60E07CE6C49BDCC6BAC6FC9FEE2E3F9E01BEB087A5D592D75F18F71EBDDA7563C167238ABD1DA803B1Cz7C4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2022-10-17T06:02:00Z</dcterms:created>
  <dcterms:modified xsi:type="dcterms:W3CDTF">2022-10-17T06:03:00Z</dcterms:modified>
</cp:coreProperties>
</file>